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5D62" w14:textId="5C7435CD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4B6134">
        <w:rPr>
          <w:rFonts w:ascii="Credit Suisse Type Light" w:hAnsi="Credit Suisse Type Light"/>
          <w:noProof/>
        </w:rPr>
        <w:drawing>
          <wp:anchor distT="0" distB="0" distL="114300" distR="114300" simplePos="0" relativeHeight="251659264" behindDoc="1" locked="0" layoutInCell="1" allowOverlap="1" wp14:anchorId="7140D1F6" wp14:editId="5EC3B8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96415" cy="399415"/>
            <wp:effectExtent l="0" t="0" r="0" b="635"/>
            <wp:wrapNone/>
            <wp:docPr id="1" name="Picture 1" descr="C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_Logo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78C97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110B60CF" w14:textId="77777777" w:rsidR="000C00F2" w:rsidRPr="000C0988" w:rsidRDefault="000C00F2" w:rsidP="000C00F2">
      <w:pPr>
        <w:jc w:val="right"/>
        <w:rPr>
          <w:rFonts w:cs="Courier New"/>
          <w:i/>
          <w:szCs w:val="20"/>
          <w:lang w:val="ru-RU"/>
        </w:rPr>
      </w:pPr>
      <w:r w:rsidRPr="000C0988">
        <w:rPr>
          <w:rFonts w:eastAsia="PMingLiU"/>
          <w:szCs w:val="20"/>
          <w:lang w:val="ru-RU"/>
        </w:rPr>
        <w:t>Утверждено</w:t>
      </w:r>
      <w:r w:rsidRPr="000C0988">
        <w:rPr>
          <w:rFonts w:eastAsia="PMingLiU"/>
          <w:szCs w:val="20"/>
          <w:lang w:val="ru-RU"/>
        </w:rPr>
        <w:br/>
        <w:t>Приказом Президента</w:t>
      </w:r>
      <w:r w:rsidRPr="000C0988">
        <w:rPr>
          <w:rFonts w:eastAsia="PMingLiU"/>
          <w:szCs w:val="20"/>
          <w:lang w:val="ru-RU"/>
        </w:rPr>
        <w:br/>
      </w:r>
      <w:r w:rsidRPr="000C0988">
        <w:rPr>
          <w:rFonts w:cs="Courier New"/>
          <w:szCs w:val="20"/>
          <w:lang w:val="ru-RU"/>
        </w:rPr>
        <w:t>АО «Банк Кредит Свисс (Москва)»</w:t>
      </w:r>
    </w:p>
    <w:p w14:paraId="7C8D9DB1" w14:textId="59003C45" w:rsidR="000C00F2" w:rsidRPr="000C0988" w:rsidRDefault="000C00F2" w:rsidP="000C00F2">
      <w:pPr>
        <w:jc w:val="right"/>
        <w:rPr>
          <w:rFonts w:cs="Courier New"/>
          <w:i/>
          <w:szCs w:val="20"/>
          <w:lang w:val="ru-RU"/>
        </w:rPr>
      </w:pPr>
      <w:r w:rsidRPr="000C0988">
        <w:rPr>
          <w:rFonts w:cs="Courier New"/>
          <w:szCs w:val="20"/>
          <w:lang w:val="ru-RU"/>
        </w:rPr>
        <w:t>№ ПОД/202</w:t>
      </w:r>
      <w:r>
        <w:rPr>
          <w:rFonts w:cs="Courier New"/>
          <w:szCs w:val="20"/>
          <w:lang w:val="ru-RU"/>
        </w:rPr>
        <w:t>40116</w:t>
      </w:r>
      <w:r w:rsidRPr="00786FBB">
        <w:rPr>
          <w:rFonts w:cs="Courier New"/>
          <w:szCs w:val="20"/>
          <w:lang w:val="ru-RU"/>
        </w:rPr>
        <w:t>/</w:t>
      </w:r>
      <w:r>
        <w:rPr>
          <w:rFonts w:cs="Courier New"/>
          <w:szCs w:val="20"/>
        </w:rPr>
        <w:t>OPS</w:t>
      </w:r>
      <w:r w:rsidRPr="000C0988">
        <w:rPr>
          <w:rFonts w:cs="Courier New"/>
          <w:szCs w:val="20"/>
          <w:lang w:val="ru-RU"/>
        </w:rPr>
        <w:t xml:space="preserve"> </w:t>
      </w:r>
    </w:p>
    <w:p w14:paraId="5FE78DDA" w14:textId="3ECC9E25" w:rsidR="000C00F2" w:rsidRPr="000C0988" w:rsidRDefault="000C00F2" w:rsidP="000C00F2">
      <w:pPr>
        <w:jc w:val="right"/>
        <w:rPr>
          <w:rFonts w:cs="Courier New"/>
          <w:i/>
          <w:szCs w:val="20"/>
          <w:lang w:val="ru-RU"/>
        </w:rPr>
      </w:pPr>
      <w:r w:rsidRPr="000C0988">
        <w:rPr>
          <w:rFonts w:cs="Courier New"/>
          <w:szCs w:val="20"/>
          <w:lang w:val="ru-RU"/>
        </w:rPr>
        <w:t xml:space="preserve">от </w:t>
      </w:r>
      <w:r>
        <w:rPr>
          <w:rFonts w:cs="Courier New"/>
          <w:szCs w:val="20"/>
          <w:lang w:val="ru-RU"/>
        </w:rPr>
        <w:t>16 января 2024</w:t>
      </w:r>
      <w:r w:rsidRPr="000C0988">
        <w:rPr>
          <w:rFonts w:cs="Courier New"/>
          <w:szCs w:val="20"/>
          <w:lang w:val="ru-RU"/>
        </w:rPr>
        <w:t xml:space="preserve"> года</w:t>
      </w:r>
    </w:p>
    <w:p w14:paraId="5C701FA8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1D542D91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563B26AB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6B4C6FBF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240645B6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50089206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125030A5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0EDD4578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067C3CF9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7C7C974E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7C9BA080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588FBA9E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7585F76C" w14:textId="77777777" w:rsidR="008D6888" w:rsidRDefault="008D6888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6A3AC1A3" w14:textId="507EBAE5" w:rsidR="005A4E30" w:rsidRDefault="005A4E30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DE31D4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Порядок </w:t>
      </w:r>
      <w:r w:rsidR="00AA47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осуществления </w:t>
      </w:r>
      <w:r w:rsidRPr="00DE31D4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выплаты</w:t>
      </w:r>
      <w:r w:rsidR="002E1FC0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 полученных после 01.01.2024</w:t>
      </w:r>
      <w:r w:rsidRPr="00DE31D4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="00AA47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доходов по ценным бумагам</w:t>
      </w:r>
      <w:r w:rsidRPr="00DE31D4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, учитывающимся на счете иностранного номинального держателя</w:t>
      </w:r>
      <w:r w:rsidR="003530C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 (далее – «Порядок»)</w:t>
      </w:r>
    </w:p>
    <w:p w14:paraId="28D4C37A" w14:textId="79FDEB64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1D3C6353" w14:textId="30BB34B4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18E1B728" w14:textId="263C443D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71128F4E" w14:textId="7010978C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4792CB92" w14:textId="659887AA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2799669E" w14:textId="4302776B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50AC0A4E" w14:textId="73142248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66741D17" w14:textId="0F8CDBCB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29D8A575" w14:textId="77504182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5CEE076B" w14:textId="329F82FE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2C710C10" w14:textId="07E887B9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7EAB89BD" w14:textId="15D00715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68AC6800" w14:textId="391EAAC2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68899763" w14:textId="018192AD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62E4A4ED" w14:textId="78980D22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7C3CD260" w14:textId="445FA4FC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244937FB" w14:textId="27F56942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0CD3D0FC" w14:textId="35051C61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201E7DFF" w14:textId="4CD4616C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0AAA5882" w14:textId="441238C3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0A1859E6" w14:textId="137C08EE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798BE9A3" w14:textId="77777777" w:rsidR="000C00F2" w:rsidRPr="00786FBB" w:rsidRDefault="000C00F2" w:rsidP="000C00F2">
      <w:pPr>
        <w:pStyle w:val="ConsNormal"/>
        <w:ind w:firstLine="0"/>
        <w:jc w:val="center"/>
        <w:rPr>
          <w:rFonts w:asciiTheme="minorHAnsi" w:hAnsiTheme="minorHAnsi" w:cs="Courier New"/>
          <w:bCs/>
        </w:rPr>
      </w:pPr>
      <w:r w:rsidRPr="000C0988">
        <w:rPr>
          <w:rFonts w:asciiTheme="minorHAnsi" w:hAnsiTheme="minorHAnsi" w:cs="Courier New"/>
          <w:bCs/>
        </w:rPr>
        <w:t>Москва</w:t>
      </w:r>
    </w:p>
    <w:p w14:paraId="078EFC18" w14:textId="77777777" w:rsidR="000C00F2" w:rsidRPr="000C0988" w:rsidRDefault="000C00F2" w:rsidP="000C00F2">
      <w:pPr>
        <w:pStyle w:val="ConsNormal"/>
        <w:ind w:firstLine="0"/>
        <w:jc w:val="center"/>
        <w:rPr>
          <w:rFonts w:asciiTheme="minorHAnsi" w:hAnsiTheme="minorHAnsi" w:cs="Courier New"/>
          <w:bCs/>
        </w:rPr>
      </w:pPr>
      <w:r w:rsidRPr="000C0988">
        <w:rPr>
          <w:rFonts w:asciiTheme="minorHAnsi" w:hAnsiTheme="minorHAnsi" w:cs="Courier New"/>
          <w:bCs/>
        </w:rPr>
        <w:t>20</w:t>
      </w:r>
      <w:r w:rsidRPr="00786FBB">
        <w:rPr>
          <w:rFonts w:asciiTheme="minorHAnsi" w:hAnsiTheme="minorHAnsi" w:cs="Courier New"/>
          <w:bCs/>
        </w:rPr>
        <w:t>2</w:t>
      </w:r>
      <w:r>
        <w:rPr>
          <w:rFonts w:asciiTheme="minorHAnsi" w:hAnsiTheme="minorHAnsi" w:cs="Courier New"/>
          <w:bCs/>
        </w:rPr>
        <w:t>4</w:t>
      </w:r>
      <w:r w:rsidRPr="000C0988">
        <w:rPr>
          <w:rFonts w:asciiTheme="minorHAnsi" w:hAnsiTheme="minorHAnsi" w:cs="Courier New"/>
          <w:bCs/>
        </w:rPr>
        <w:t xml:space="preserve"> год</w:t>
      </w:r>
    </w:p>
    <w:p w14:paraId="008EAB40" w14:textId="6C28D6B0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75C12029" w14:textId="0D122E78" w:rsidR="000C00F2" w:rsidRDefault="000C00F2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</w:p>
    <w:p w14:paraId="6B238A6A" w14:textId="77777777" w:rsidR="005A4E30" w:rsidRPr="005A4E30" w:rsidRDefault="005A4E30" w:rsidP="005A4E30">
      <w:pPr>
        <w:ind w:left="720"/>
        <w:textAlignment w:val="baseline"/>
        <w:rPr>
          <w:rFonts w:eastAsia="Times New Roman" w:cs="Times New Roman"/>
          <w:sz w:val="24"/>
          <w:szCs w:val="24"/>
          <w:lang w:val="ru-RU" w:eastAsia="ru-RU"/>
        </w:rPr>
      </w:pPr>
      <w:r w:rsidRPr="005A4E30">
        <w:rPr>
          <w:rFonts w:eastAsia="Times New Roman" w:cs="Times New Roman"/>
          <w:caps/>
          <w:color w:val="FFFFFF"/>
          <w:sz w:val="15"/>
          <w:szCs w:val="15"/>
          <w:bdr w:val="none" w:sz="0" w:space="0" w:color="auto" w:frame="1"/>
          <w:lang w:val="ru-RU" w:eastAsia="ru-RU"/>
        </w:rPr>
        <w:t>01 АВГУСТА 2022</w:t>
      </w:r>
    </w:p>
    <w:p w14:paraId="70276B95" w14:textId="48B86B60" w:rsidR="009349E6" w:rsidRPr="009B7F11" w:rsidRDefault="00C05641" w:rsidP="009D47E0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/>
          <w:sz w:val="22"/>
          <w:szCs w:val="22"/>
        </w:rPr>
      </w:pPr>
      <w:r w:rsidRPr="009B7F11">
        <w:rPr>
          <w:rFonts w:asciiTheme="minorHAnsi" w:hAnsiTheme="minorHAnsi"/>
          <w:sz w:val="22"/>
          <w:szCs w:val="22"/>
        </w:rPr>
        <w:t xml:space="preserve">В соответствии с </w:t>
      </w:r>
      <w:r w:rsidR="009349E6" w:rsidRPr="009B7F11">
        <w:rPr>
          <w:rFonts w:asciiTheme="minorHAnsi" w:hAnsiTheme="minorHAnsi"/>
          <w:sz w:val="22"/>
          <w:szCs w:val="22"/>
        </w:rPr>
        <w:t xml:space="preserve">Решением Совета директоров Банка России </w:t>
      </w:r>
      <w:r w:rsidR="0026192F" w:rsidRPr="009B7F11">
        <w:rPr>
          <w:rFonts w:asciiTheme="minorHAnsi" w:hAnsiTheme="minorHAnsi"/>
          <w:sz w:val="22"/>
          <w:szCs w:val="22"/>
        </w:rPr>
        <w:t xml:space="preserve">от 22 декабря 2023 года </w:t>
      </w:r>
      <w:r w:rsidR="009349E6" w:rsidRPr="009B7F11">
        <w:rPr>
          <w:rFonts w:asciiTheme="minorHAnsi" w:hAnsiTheme="minorHAnsi"/>
          <w:sz w:val="22"/>
          <w:szCs w:val="22"/>
        </w:rPr>
        <w:t xml:space="preserve">«О </w:t>
      </w:r>
      <w:r w:rsidR="006A7EEB" w:rsidRPr="009B7F11">
        <w:rPr>
          <w:rFonts w:asciiTheme="minorHAnsi" w:hAnsiTheme="minorHAnsi"/>
          <w:sz w:val="22"/>
          <w:szCs w:val="22"/>
        </w:rPr>
        <w:t>т</w:t>
      </w:r>
      <w:r w:rsidR="009349E6" w:rsidRPr="009B7F11">
        <w:rPr>
          <w:rFonts w:asciiTheme="minorHAnsi" w:hAnsiTheme="minorHAnsi"/>
          <w:sz w:val="22"/>
          <w:szCs w:val="22"/>
        </w:rPr>
        <w:t>ребовани</w:t>
      </w:r>
      <w:r w:rsidR="006A7EEB" w:rsidRPr="009B7F11">
        <w:rPr>
          <w:rFonts w:asciiTheme="minorHAnsi" w:hAnsiTheme="minorHAnsi"/>
          <w:sz w:val="22"/>
          <w:szCs w:val="22"/>
        </w:rPr>
        <w:t xml:space="preserve">ях </w:t>
      </w:r>
      <w:r w:rsidR="009349E6" w:rsidRPr="009B7F11">
        <w:rPr>
          <w:rFonts w:asciiTheme="minorHAnsi" w:hAnsiTheme="minorHAnsi"/>
          <w:sz w:val="22"/>
          <w:szCs w:val="22"/>
        </w:rPr>
        <w:t xml:space="preserve">к деятельности профессиональных участников рынка ценных бумаг, осуществляющих депозитарную деятельность, при перечислении ими </w:t>
      </w:r>
      <w:r w:rsidR="006A7EEB" w:rsidRPr="009B7F11">
        <w:rPr>
          <w:rFonts w:asciiTheme="minorHAnsi" w:hAnsiTheme="minorHAnsi"/>
          <w:sz w:val="22"/>
          <w:szCs w:val="22"/>
        </w:rPr>
        <w:t>выплат в денежной форме по отдельным видам финансов</w:t>
      </w:r>
      <w:r w:rsidR="0090023D" w:rsidRPr="009B7F11">
        <w:rPr>
          <w:rFonts w:asciiTheme="minorHAnsi" w:hAnsiTheme="minorHAnsi"/>
          <w:sz w:val="22"/>
          <w:szCs w:val="22"/>
        </w:rPr>
        <w:t>ы</w:t>
      </w:r>
      <w:r w:rsidR="006A7EEB" w:rsidRPr="009B7F11">
        <w:rPr>
          <w:rFonts w:asciiTheme="minorHAnsi" w:hAnsiTheme="minorHAnsi"/>
          <w:sz w:val="22"/>
          <w:szCs w:val="22"/>
        </w:rPr>
        <w:t xml:space="preserve">х </w:t>
      </w:r>
      <w:r w:rsidR="0090023D" w:rsidRPr="009B7F11">
        <w:rPr>
          <w:rFonts w:asciiTheme="minorHAnsi" w:hAnsiTheme="minorHAnsi"/>
          <w:sz w:val="22"/>
          <w:szCs w:val="22"/>
        </w:rPr>
        <w:t>инструментов и о порядке передачи российскими юридическими лицами, имеющими обязательства, связанные с еврооблигациями</w:t>
      </w:r>
      <w:r w:rsidR="009349E6" w:rsidRPr="009B7F11">
        <w:rPr>
          <w:rFonts w:asciiTheme="minorHAnsi" w:hAnsiTheme="minorHAnsi"/>
          <w:sz w:val="22"/>
          <w:szCs w:val="22"/>
        </w:rPr>
        <w:t>,</w:t>
      </w:r>
      <w:r w:rsidR="0090023D" w:rsidRPr="009B7F11">
        <w:rPr>
          <w:rFonts w:asciiTheme="minorHAnsi" w:hAnsiTheme="minorHAnsi"/>
          <w:sz w:val="22"/>
          <w:szCs w:val="22"/>
        </w:rPr>
        <w:t xml:space="preserve"> денежных средств держателям еврооблигаций</w:t>
      </w:r>
      <w:r w:rsidR="009349E6" w:rsidRPr="009B7F11">
        <w:rPr>
          <w:rFonts w:asciiTheme="minorHAnsi" w:hAnsiTheme="minorHAnsi"/>
          <w:sz w:val="22"/>
          <w:szCs w:val="22"/>
        </w:rPr>
        <w:t xml:space="preserve">» </w:t>
      </w:r>
      <w:r w:rsidR="00B63387" w:rsidRPr="009B7F11">
        <w:rPr>
          <w:rFonts w:asciiTheme="minorHAnsi" w:hAnsiTheme="minorHAnsi"/>
          <w:sz w:val="22"/>
          <w:szCs w:val="22"/>
        </w:rPr>
        <w:t>(далее - Решение)</w:t>
      </w:r>
      <w:r w:rsidR="009349E6" w:rsidRPr="009B7F11">
        <w:rPr>
          <w:rFonts w:asciiTheme="minorHAnsi" w:hAnsiTheme="minorHAnsi"/>
          <w:sz w:val="22"/>
          <w:szCs w:val="22"/>
        </w:rPr>
        <w:t xml:space="preserve"> </w:t>
      </w:r>
      <w:r w:rsidR="00B847FD" w:rsidRPr="009B7F11">
        <w:rPr>
          <w:rFonts w:asciiTheme="minorHAnsi" w:hAnsiTheme="minorHAnsi"/>
          <w:sz w:val="22"/>
          <w:szCs w:val="22"/>
        </w:rPr>
        <w:t>АО «Банк Кредит Свисс (Москва)» (далее – «Депозитарий</w:t>
      </w:r>
      <w:r w:rsidRPr="009B7F11">
        <w:rPr>
          <w:rFonts w:asciiTheme="minorHAnsi" w:hAnsiTheme="minorHAnsi"/>
          <w:sz w:val="22"/>
          <w:szCs w:val="22"/>
        </w:rPr>
        <w:t xml:space="preserve">») </w:t>
      </w:r>
      <w:r w:rsidR="00E200D2" w:rsidRPr="009B7F11">
        <w:rPr>
          <w:rFonts w:asciiTheme="minorHAnsi" w:hAnsiTheme="minorHAnsi"/>
          <w:sz w:val="22"/>
          <w:szCs w:val="22"/>
        </w:rPr>
        <w:t xml:space="preserve">определен </w:t>
      </w:r>
      <w:r w:rsidR="00B847FD" w:rsidRPr="009B7F11">
        <w:rPr>
          <w:rFonts w:asciiTheme="minorHAnsi" w:hAnsiTheme="minorHAnsi"/>
          <w:sz w:val="22"/>
          <w:szCs w:val="22"/>
        </w:rPr>
        <w:t xml:space="preserve">следующий порядок </w:t>
      </w:r>
      <w:r w:rsidR="00E200D2" w:rsidRPr="009B7F11">
        <w:rPr>
          <w:rFonts w:asciiTheme="minorHAnsi" w:hAnsiTheme="minorHAnsi"/>
          <w:sz w:val="22"/>
          <w:szCs w:val="22"/>
        </w:rPr>
        <w:t xml:space="preserve">выплаты </w:t>
      </w:r>
      <w:r w:rsidR="0090023D" w:rsidRPr="009B7F11">
        <w:rPr>
          <w:rFonts w:asciiTheme="minorHAnsi" w:hAnsiTheme="minorHAnsi"/>
          <w:sz w:val="22"/>
          <w:szCs w:val="22"/>
        </w:rPr>
        <w:t xml:space="preserve">дивидендов в денежной форме по акциям российских акционерных обществ, доходов в денежной форме и иных денежных выплат по облигациям федерального займа, номинальная стоимость которых указана в рублях, облигациям российских эмитентов, по облигациям иностранных эмитентов, не являющихся иностранными лицами, указанными в </w:t>
      </w:r>
      <w:hyperlink r:id="rId8" w:history="1">
        <w:r w:rsidR="0090023D" w:rsidRPr="009B7F11">
          <w:rPr>
            <w:rFonts w:asciiTheme="minorHAnsi" w:hAnsiTheme="minorHAnsi"/>
            <w:sz w:val="22"/>
            <w:szCs w:val="22"/>
          </w:rPr>
          <w:t>пункте 1</w:t>
        </w:r>
      </w:hyperlink>
      <w:r w:rsidR="0090023D" w:rsidRPr="009B7F11">
        <w:rPr>
          <w:rFonts w:asciiTheme="minorHAnsi" w:hAnsiTheme="minorHAnsi"/>
          <w:sz w:val="22"/>
          <w:szCs w:val="22"/>
        </w:rPr>
        <w:t xml:space="preserve"> Указа Президента Российской Федерации от 05.03.2022 N 95 "О временном порядке исполнения обязательств перед некоторыми иностранными кредиторами" (далее - Указ N 95), централизованный учет прав на которые (обязательное централизованное хранение которых) осуществляется депозитариями, </w:t>
      </w:r>
      <w:r w:rsidR="00A82526">
        <w:rPr>
          <w:rFonts w:asciiTheme="minorHAnsi" w:hAnsiTheme="minorHAnsi"/>
          <w:sz w:val="22"/>
          <w:szCs w:val="22"/>
        </w:rPr>
        <w:t xml:space="preserve">еврооблигациям </w:t>
      </w:r>
      <w:r w:rsidR="0090023D" w:rsidRPr="009B7F11">
        <w:rPr>
          <w:rFonts w:asciiTheme="minorHAnsi" w:hAnsiTheme="minorHAnsi"/>
          <w:sz w:val="22"/>
          <w:szCs w:val="22"/>
        </w:rPr>
        <w:t>(далее соответственно - Выплата)</w:t>
      </w:r>
      <w:r w:rsidR="00E200D2" w:rsidRPr="009B7F11">
        <w:rPr>
          <w:rFonts w:asciiTheme="minorHAnsi" w:hAnsiTheme="minorHAnsi"/>
          <w:sz w:val="22"/>
          <w:szCs w:val="22"/>
        </w:rPr>
        <w:t>, учитывающимся на счете депо иностранного номинального держателя.</w:t>
      </w:r>
    </w:p>
    <w:p w14:paraId="374E85BB" w14:textId="77777777" w:rsidR="0090023D" w:rsidRPr="009B7F11" w:rsidRDefault="0090023D" w:rsidP="00583488">
      <w:pPr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</w:p>
    <w:p w14:paraId="743EC938" w14:textId="270F51A0" w:rsidR="00BD5751" w:rsidRPr="009B7F11" w:rsidRDefault="00E200D2" w:rsidP="009B7F11">
      <w:pPr>
        <w:numPr>
          <w:ilvl w:val="0"/>
          <w:numId w:val="11"/>
        </w:numPr>
        <w:tabs>
          <w:tab w:val="left" w:pos="567"/>
        </w:tabs>
        <w:ind w:left="0" w:firstLine="0"/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>Не позд</w:t>
      </w:r>
      <w:r w:rsidR="00242F0B" w:rsidRPr="009B7F11">
        <w:rPr>
          <w:rFonts w:eastAsia="Times New Roman" w:cs="Times New Roman"/>
          <w:sz w:val="22"/>
          <w:lang w:val="ru-RU" w:eastAsia="ru-RU"/>
        </w:rPr>
        <w:t>не</w:t>
      </w:r>
      <w:r w:rsidRPr="009B7F11">
        <w:rPr>
          <w:rFonts w:eastAsia="Times New Roman" w:cs="Times New Roman"/>
          <w:sz w:val="22"/>
          <w:lang w:val="ru-RU" w:eastAsia="ru-RU"/>
        </w:rPr>
        <w:t xml:space="preserve">е </w:t>
      </w:r>
      <w:r w:rsidR="005A4E30" w:rsidRPr="009B7F11">
        <w:rPr>
          <w:rFonts w:eastAsia="Times New Roman" w:cs="Times New Roman"/>
          <w:sz w:val="22"/>
          <w:lang w:val="ru-RU" w:eastAsia="ru-RU"/>
        </w:rPr>
        <w:t xml:space="preserve">одного рабочего дня с момента получения </w:t>
      </w:r>
      <w:r w:rsidR="006045E1" w:rsidRPr="009B7F11">
        <w:rPr>
          <w:rFonts w:eastAsia="Times New Roman" w:cs="Times New Roman"/>
          <w:sz w:val="22"/>
          <w:lang w:val="ru-RU" w:eastAsia="ru-RU"/>
        </w:rPr>
        <w:t>Выплаты</w:t>
      </w:r>
      <w:r w:rsidR="005A4E30" w:rsidRPr="009B7F11">
        <w:rPr>
          <w:rFonts w:eastAsia="Times New Roman" w:cs="Times New Roman"/>
          <w:sz w:val="22"/>
          <w:lang w:val="ru-RU" w:eastAsia="ru-RU"/>
        </w:rPr>
        <w:t xml:space="preserve"> от Небанковской кредитной организации акционерного общества «Национальный расчетный депозитарий» (далее - НРД)/эмитента, предназначенных для выплаты по </w:t>
      </w:r>
      <w:r w:rsidR="008176A2" w:rsidRPr="009B7F11">
        <w:rPr>
          <w:sz w:val="22"/>
          <w:lang w:val="ru-RU"/>
        </w:rPr>
        <w:t xml:space="preserve">облигациям российских эмитентов, по облигациям иностранных эмитентов, не являющихся иностранными лицами, указанными в </w:t>
      </w:r>
      <w:hyperlink r:id="rId9" w:history="1">
        <w:r w:rsidR="008176A2" w:rsidRPr="009B7F11">
          <w:rPr>
            <w:sz w:val="22"/>
            <w:lang w:val="ru-RU"/>
          </w:rPr>
          <w:t>пункте 1</w:t>
        </w:r>
      </w:hyperlink>
      <w:r w:rsidR="008176A2" w:rsidRPr="009B7F11">
        <w:rPr>
          <w:sz w:val="22"/>
          <w:lang w:val="ru-RU"/>
        </w:rPr>
        <w:t xml:space="preserve"> Указа </w:t>
      </w:r>
      <w:r w:rsidR="008176A2" w:rsidRPr="009B7F11">
        <w:rPr>
          <w:sz w:val="22"/>
        </w:rPr>
        <w:t>N</w:t>
      </w:r>
      <w:r w:rsidR="008176A2" w:rsidRPr="009B7F11">
        <w:rPr>
          <w:sz w:val="22"/>
          <w:lang w:val="ru-RU"/>
        </w:rPr>
        <w:t xml:space="preserve"> 95, централизованный учет прав на которые (обязательное централизованное хранение которых) осуществляется депозитариями, а также по облигациям федерального займа, номинальная стоимость которых указана в рублях, еврооблигациям, акциям российских акционерных обществ,  права на которые учитываются иностранными номинальными держателями (далее - облигации, еврооблигации, акции, а при совместном упоминании - Ценные бумаги</w:t>
      </w:r>
      <w:r w:rsidR="005A4E30" w:rsidRPr="009B7F11">
        <w:rPr>
          <w:rFonts w:eastAsia="Times New Roman" w:cs="Times New Roman"/>
          <w:sz w:val="22"/>
          <w:lang w:val="ru-RU" w:eastAsia="ru-RU"/>
        </w:rPr>
        <w:t xml:space="preserve">, </w:t>
      </w:r>
      <w:r w:rsidR="00242F0B" w:rsidRPr="009B7F11">
        <w:rPr>
          <w:rFonts w:eastAsia="Times New Roman" w:cs="Times New Roman"/>
          <w:sz w:val="22"/>
          <w:lang w:val="ru-RU" w:eastAsia="ru-RU"/>
        </w:rPr>
        <w:t>учитывающимся на счете депо иностранного номинального держателя, Депозитарий</w:t>
      </w:r>
      <w:r w:rsidR="005A4E30" w:rsidRPr="009B7F11">
        <w:rPr>
          <w:rFonts w:eastAsia="Times New Roman" w:cs="Times New Roman"/>
          <w:sz w:val="22"/>
          <w:lang w:val="ru-RU" w:eastAsia="ru-RU"/>
        </w:rPr>
        <w:t xml:space="preserve"> направля</w:t>
      </w:r>
      <w:r w:rsidR="00242F0B" w:rsidRPr="009B7F11">
        <w:rPr>
          <w:rFonts w:eastAsia="Times New Roman" w:cs="Times New Roman"/>
          <w:sz w:val="22"/>
          <w:lang w:val="ru-RU" w:eastAsia="ru-RU"/>
        </w:rPr>
        <w:t>е</w:t>
      </w:r>
      <w:r w:rsidR="005A4E30" w:rsidRPr="009B7F11">
        <w:rPr>
          <w:rFonts w:eastAsia="Times New Roman" w:cs="Times New Roman"/>
          <w:sz w:val="22"/>
          <w:lang w:val="ru-RU" w:eastAsia="ru-RU"/>
        </w:rPr>
        <w:t>т своим депонентам</w:t>
      </w:r>
      <w:r w:rsidR="00242F0B" w:rsidRPr="009B7F11">
        <w:rPr>
          <w:rFonts w:eastAsia="Times New Roman" w:cs="Times New Roman"/>
          <w:sz w:val="22"/>
          <w:lang w:val="ru-RU" w:eastAsia="ru-RU"/>
        </w:rPr>
        <w:t xml:space="preserve"> - </w:t>
      </w:r>
      <w:r w:rsidR="005A4E30" w:rsidRPr="009B7F11">
        <w:rPr>
          <w:rFonts w:eastAsia="Times New Roman" w:cs="Times New Roman"/>
          <w:sz w:val="22"/>
          <w:lang w:val="ru-RU" w:eastAsia="ru-RU"/>
        </w:rPr>
        <w:t>иностранным номинальным держателям</w:t>
      </w:r>
      <w:r w:rsidR="00BD5751" w:rsidRPr="009B7F11">
        <w:rPr>
          <w:rFonts w:eastAsia="Times New Roman" w:cs="Times New Roman"/>
          <w:sz w:val="22"/>
          <w:lang w:val="ru-RU" w:eastAsia="ru-RU"/>
        </w:rPr>
        <w:t>:</w:t>
      </w:r>
    </w:p>
    <w:p w14:paraId="3A420C39" w14:textId="7984A7B1" w:rsidR="00BD5751" w:rsidRPr="009B7F11" w:rsidRDefault="005A4E30" w:rsidP="009B7F11">
      <w:pPr>
        <w:numPr>
          <w:ilvl w:val="1"/>
          <w:numId w:val="11"/>
        </w:numPr>
        <w:tabs>
          <w:tab w:val="left" w:pos="567"/>
        </w:tabs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информацию о </w:t>
      </w:r>
      <w:r w:rsidR="00BD5751" w:rsidRPr="009B7F11">
        <w:rPr>
          <w:rFonts w:eastAsia="Times New Roman" w:cs="Times New Roman"/>
          <w:sz w:val="22"/>
          <w:lang w:val="ru-RU" w:eastAsia="ru-RU"/>
        </w:rPr>
        <w:t xml:space="preserve">поступлении </w:t>
      </w:r>
      <w:r w:rsidR="008176A2" w:rsidRPr="009B7F11">
        <w:rPr>
          <w:rFonts w:eastAsia="Times New Roman" w:cs="Times New Roman"/>
          <w:sz w:val="22"/>
          <w:lang w:val="ru-RU" w:eastAsia="ru-RU"/>
        </w:rPr>
        <w:t>Выплаты</w:t>
      </w:r>
      <w:r w:rsidR="006045E1" w:rsidRPr="009B7F11">
        <w:rPr>
          <w:rFonts w:eastAsia="Times New Roman" w:cs="Times New Roman"/>
          <w:sz w:val="22"/>
          <w:lang w:val="ru-RU" w:eastAsia="ru-RU"/>
        </w:rPr>
        <w:t xml:space="preserve"> с указанием информации позволяющей идентифицировать эмитента</w:t>
      </w:r>
      <w:r w:rsidR="00BD5751" w:rsidRPr="009B7F11">
        <w:rPr>
          <w:rFonts w:eastAsia="Times New Roman" w:cs="Times New Roman"/>
          <w:sz w:val="22"/>
          <w:lang w:val="ru-RU" w:eastAsia="ru-RU"/>
        </w:rPr>
        <w:t>;</w:t>
      </w:r>
    </w:p>
    <w:p w14:paraId="076DE51E" w14:textId="3CA48F15" w:rsidR="008176A2" w:rsidRPr="009B7F11" w:rsidRDefault="005A4E30" w:rsidP="003B4B65">
      <w:pPr>
        <w:numPr>
          <w:ilvl w:val="1"/>
          <w:numId w:val="11"/>
        </w:numPr>
        <w:spacing w:line="180" w:lineRule="atLeast"/>
        <w:jc w:val="both"/>
        <w:textAlignment w:val="baseline"/>
        <w:rPr>
          <w:sz w:val="22"/>
          <w:lang w:val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информацию о том, что </w:t>
      </w:r>
      <w:r w:rsidR="008176A2" w:rsidRPr="009B7F11">
        <w:rPr>
          <w:rFonts w:eastAsia="Times New Roman" w:cs="Times New Roman"/>
          <w:sz w:val="22"/>
          <w:lang w:val="ru-RU" w:eastAsia="ru-RU"/>
        </w:rPr>
        <w:t>В</w:t>
      </w:r>
      <w:r w:rsidRPr="009B7F11">
        <w:rPr>
          <w:rFonts w:eastAsia="Times New Roman" w:cs="Times New Roman"/>
          <w:sz w:val="22"/>
          <w:lang w:val="ru-RU" w:eastAsia="ru-RU"/>
        </w:rPr>
        <w:t>ыплата будет осуществляться в порядке, отличном от порядка, установленного пунктом 4 статьи 8</w:t>
      </w:r>
      <w:r w:rsidR="0030410D" w:rsidRPr="009B7F11">
        <w:rPr>
          <w:rFonts w:eastAsia="Times New Roman" w:cs="Times New Roman"/>
          <w:sz w:val="22"/>
          <w:lang w:val="ru-RU" w:eastAsia="ru-RU"/>
        </w:rPr>
        <w:t>.</w:t>
      </w:r>
      <w:r w:rsidRPr="009B7F11">
        <w:rPr>
          <w:rFonts w:eastAsia="Times New Roman" w:cs="Times New Roman"/>
          <w:sz w:val="22"/>
          <w:lang w:val="ru-RU" w:eastAsia="ru-RU"/>
        </w:rPr>
        <w:t xml:space="preserve">7 </w:t>
      </w:r>
      <w:r w:rsidR="006045E1" w:rsidRPr="009B7F11">
        <w:rPr>
          <w:rFonts w:eastAsia="Times New Roman" w:cs="Times New Roman"/>
          <w:sz w:val="22"/>
          <w:lang w:val="ru-RU" w:eastAsia="ru-RU"/>
        </w:rPr>
        <w:t xml:space="preserve">Федерального закона от 22.04.1996 N 39-ФЗ "О рынке ценных бумаг" </w:t>
      </w:r>
      <w:r w:rsidR="008176A2" w:rsidRPr="009B7F11">
        <w:rPr>
          <w:rFonts w:eastAsia="Times New Roman" w:cs="Times New Roman"/>
          <w:sz w:val="22"/>
          <w:lang w:val="ru-RU" w:eastAsia="ru-RU"/>
        </w:rPr>
        <w:t>и (или) установленных депозитарным договором условий</w:t>
      </w:r>
      <w:r w:rsidR="00BD5751" w:rsidRPr="009B7F11">
        <w:rPr>
          <w:rFonts w:eastAsia="Times New Roman" w:cs="Times New Roman"/>
          <w:sz w:val="22"/>
          <w:lang w:val="ru-RU" w:eastAsia="ru-RU"/>
        </w:rPr>
        <w:t>;</w:t>
      </w:r>
      <w:r w:rsidR="008176A2" w:rsidRPr="009B7F11">
        <w:rPr>
          <w:rFonts w:eastAsia="Times New Roman" w:cs="Times New Roman"/>
          <w:sz w:val="22"/>
          <w:lang w:val="ru-RU" w:eastAsia="ru-RU"/>
        </w:rPr>
        <w:t xml:space="preserve"> </w:t>
      </w:r>
    </w:p>
    <w:p w14:paraId="349EFB90" w14:textId="7B313274" w:rsidR="008176A2" w:rsidRPr="009B7F11" w:rsidRDefault="00BD5751" w:rsidP="003B4B65">
      <w:pPr>
        <w:numPr>
          <w:ilvl w:val="1"/>
          <w:numId w:val="11"/>
        </w:numPr>
        <w:spacing w:line="180" w:lineRule="atLeast"/>
        <w:jc w:val="both"/>
        <w:textAlignment w:val="baseline"/>
        <w:rPr>
          <w:sz w:val="22"/>
          <w:lang w:val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запрос </w:t>
      </w:r>
      <w:r w:rsidR="006045E1" w:rsidRPr="009B7F11">
        <w:rPr>
          <w:rFonts w:eastAsia="Times New Roman" w:cs="Times New Roman"/>
          <w:sz w:val="22"/>
          <w:lang w:val="ru-RU" w:eastAsia="ru-RU"/>
        </w:rPr>
        <w:t xml:space="preserve">о </w:t>
      </w:r>
      <w:r w:rsidR="008176A2" w:rsidRPr="009B7F11">
        <w:rPr>
          <w:sz w:val="22"/>
          <w:lang w:val="ru-RU"/>
        </w:rPr>
        <w:t xml:space="preserve">предоставлении предусмотренной </w:t>
      </w:r>
      <w:hyperlink r:id="rId10" w:history="1">
        <w:r w:rsidR="008176A2" w:rsidRPr="009B7F11">
          <w:rPr>
            <w:sz w:val="22"/>
            <w:lang w:val="ru-RU"/>
          </w:rPr>
          <w:t>пунктом 3</w:t>
        </w:r>
      </w:hyperlink>
      <w:r w:rsidR="008176A2" w:rsidRPr="009B7F11">
        <w:rPr>
          <w:sz w:val="22"/>
          <w:lang w:val="ru-RU"/>
        </w:rPr>
        <w:t xml:space="preserve"> </w:t>
      </w:r>
      <w:r w:rsidR="00BE0476" w:rsidRPr="009B7F11">
        <w:rPr>
          <w:sz w:val="22"/>
          <w:lang w:val="ru-RU"/>
        </w:rPr>
        <w:t xml:space="preserve">Порядка </w:t>
      </w:r>
      <w:r w:rsidR="008176A2" w:rsidRPr="009B7F11">
        <w:rPr>
          <w:sz w:val="22"/>
          <w:lang w:val="ru-RU"/>
        </w:rPr>
        <w:t>информации и документов в отношении лиц, имеющих право на получение Выплаты, по состоянию на дату, на которую определяются такие лица по облигациям или еврооблигациям, или дату, установленную решением общего собрания акционеров российского акционерного общества о выплате (объявлении) дивидендов для владельцев акций (лиц, осуществляющих права по акциям) и (далее – Запрос);</w:t>
      </w:r>
    </w:p>
    <w:p w14:paraId="653A1D29" w14:textId="17737164" w:rsidR="008176A2" w:rsidRPr="009B7F11" w:rsidRDefault="005A4E30" w:rsidP="008176A2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информацию о дате окончания приема </w:t>
      </w:r>
      <w:r w:rsidR="00BD5751" w:rsidRPr="009B7F11">
        <w:rPr>
          <w:rFonts w:eastAsia="Times New Roman" w:cs="Times New Roman"/>
          <w:sz w:val="22"/>
          <w:lang w:val="ru-RU" w:eastAsia="ru-RU"/>
        </w:rPr>
        <w:t>Д</w:t>
      </w:r>
      <w:r w:rsidRPr="009B7F11">
        <w:rPr>
          <w:rFonts w:eastAsia="Times New Roman" w:cs="Times New Roman"/>
          <w:sz w:val="22"/>
          <w:lang w:val="ru-RU" w:eastAsia="ru-RU"/>
        </w:rPr>
        <w:t>епозитарием информации</w:t>
      </w:r>
      <w:r w:rsidR="00BD5751" w:rsidRPr="009B7F11">
        <w:rPr>
          <w:rFonts w:eastAsia="Times New Roman" w:cs="Times New Roman"/>
          <w:sz w:val="22"/>
          <w:lang w:val="ru-RU" w:eastAsia="ru-RU"/>
        </w:rPr>
        <w:t>,</w:t>
      </w:r>
      <w:r w:rsidRPr="009B7F11">
        <w:rPr>
          <w:rFonts w:eastAsia="Times New Roman" w:cs="Times New Roman"/>
          <w:sz w:val="22"/>
          <w:lang w:val="ru-RU" w:eastAsia="ru-RU"/>
        </w:rPr>
        <w:t xml:space="preserve"> запрошенной для </w:t>
      </w:r>
      <w:r w:rsidR="008176A2" w:rsidRPr="009B7F11">
        <w:rPr>
          <w:rFonts w:eastAsia="Times New Roman" w:cs="Times New Roman"/>
          <w:sz w:val="22"/>
          <w:lang w:val="ru-RU" w:eastAsia="ru-RU"/>
        </w:rPr>
        <w:t>передачи Выплаты - семидесятый календарный день со дня направления Запроса</w:t>
      </w:r>
      <w:r w:rsidR="00B847FD" w:rsidRPr="009B7F11">
        <w:rPr>
          <w:rFonts w:eastAsia="Times New Roman" w:cs="Times New Roman"/>
          <w:sz w:val="22"/>
          <w:lang w:val="ru-RU" w:eastAsia="ru-RU"/>
        </w:rPr>
        <w:t xml:space="preserve"> Депозитарием</w:t>
      </w:r>
      <w:r w:rsidR="008176A2" w:rsidRPr="009B7F11">
        <w:rPr>
          <w:rFonts w:eastAsia="Times New Roman" w:cs="Times New Roman"/>
          <w:sz w:val="22"/>
          <w:lang w:val="ru-RU" w:eastAsia="ru-RU"/>
        </w:rPr>
        <w:t>.</w:t>
      </w:r>
    </w:p>
    <w:p w14:paraId="4973E26A" w14:textId="77777777" w:rsidR="00726E77" w:rsidRPr="009B7F11" w:rsidRDefault="00726E77" w:rsidP="00583488">
      <w:pPr>
        <w:ind w:left="1440"/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</w:p>
    <w:p w14:paraId="640E6024" w14:textId="092B1395" w:rsidR="00E6713E" w:rsidRPr="009B7F11" w:rsidRDefault="00E6713E" w:rsidP="009B7F11">
      <w:pPr>
        <w:numPr>
          <w:ilvl w:val="0"/>
          <w:numId w:val="11"/>
        </w:numPr>
        <w:jc w:val="both"/>
        <w:textAlignment w:val="baseline"/>
        <w:rPr>
          <w:sz w:val="22"/>
          <w:lang w:val="ru-RU"/>
        </w:rPr>
      </w:pPr>
      <w:r w:rsidRPr="009B7F11">
        <w:rPr>
          <w:sz w:val="22"/>
          <w:lang w:val="ru-RU"/>
        </w:rPr>
        <w:t xml:space="preserve">Депозитарий не позднее рабочего дня, следующего за днем направления Запроса, раскрывает на своем сайте в </w:t>
      </w:r>
      <w:r w:rsidRPr="009B7F11">
        <w:rPr>
          <w:rFonts w:eastAsia="Times New Roman" w:cs="Times New Roman"/>
          <w:sz w:val="22"/>
          <w:lang w:val="ru-RU" w:eastAsia="ru-RU"/>
        </w:rPr>
        <w:t>информационно</w:t>
      </w:r>
      <w:r w:rsidRPr="009B7F11">
        <w:rPr>
          <w:sz w:val="22"/>
          <w:lang w:val="ru-RU"/>
        </w:rPr>
        <w:t xml:space="preserve">-телекоммуникационной сети "Интернет" информацию о Ценных бумагах, по которым была получена Выплата, а также датах, указанных </w:t>
      </w:r>
      <w:r w:rsidR="00B847FD" w:rsidRPr="009B7F11">
        <w:rPr>
          <w:sz w:val="22"/>
          <w:lang w:val="ru-RU"/>
        </w:rPr>
        <w:t xml:space="preserve">пп.1.3 и 1.4 </w:t>
      </w:r>
      <w:r w:rsidR="00EB2DE9" w:rsidRPr="009B7F11">
        <w:rPr>
          <w:sz w:val="22"/>
          <w:lang w:val="ru-RU"/>
        </w:rPr>
        <w:t>настоящего Порядка</w:t>
      </w:r>
      <w:r w:rsidRPr="009B7F11">
        <w:rPr>
          <w:sz w:val="22"/>
          <w:lang w:val="ru-RU"/>
        </w:rPr>
        <w:t>.</w:t>
      </w:r>
    </w:p>
    <w:p w14:paraId="78392047" w14:textId="77777777" w:rsidR="00E6713E" w:rsidRPr="009B7F11" w:rsidRDefault="00E6713E" w:rsidP="00E6713E">
      <w:pPr>
        <w:ind w:left="720"/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</w:p>
    <w:p w14:paraId="6B567AE4" w14:textId="1C634B80" w:rsidR="007B6446" w:rsidRPr="009B7F11" w:rsidRDefault="00F202F5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>В ответ на </w:t>
      </w:r>
      <w:r w:rsidR="00E6713E" w:rsidRPr="009B7F11">
        <w:rPr>
          <w:rFonts w:eastAsia="Times New Roman" w:cs="Times New Roman"/>
          <w:sz w:val="22"/>
          <w:lang w:val="ru-RU" w:eastAsia="ru-RU"/>
        </w:rPr>
        <w:t>З</w:t>
      </w:r>
      <w:r w:rsidRPr="009B7F11">
        <w:rPr>
          <w:rFonts w:eastAsia="Times New Roman" w:cs="Times New Roman"/>
          <w:sz w:val="22"/>
          <w:lang w:val="ru-RU" w:eastAsia="ru-RU"/>
        </w:rPr>
        <w:t>апрос иностранный номинальный держатель</w:t>
      </w:r>
      <w:r w:rsidR="00E837BB" w:rsidRPr="009B7F11">
        <w:rPr>
          <w:rFonts w:eastAsia="Times New Roman" w:cs="Times New Roman"/>
          <w:sz w:val="22"/>
          <w:lang w:val="ru-RU" w:eastAsia="ru-RU"/>
        </w:rPr>
        <w:t xml:space="preserve"> - депонент Депозитария</w:t>
      </w:r>
      <w:r w:rsidRPr="009B7F11">
        <w:rPr>
          <w:rFonts w:eastAsia="Times New Roman" w:cs="Times New Roman"/>
          <w:sz w:val="22"/>
          <w:lang w:val="ru-RU" w:eastAsia="ru-RU"/>
        </w:rPr>
        <w:t xml:space="preserve"> в течение 70 дней со дня </w:t>
      </w:r>
      <w:r w:rsidR="009B7F11" w:rsidRPr="009B7F11">
        <w:rPr>
          <w:rFonts w:eastAsia="Times New Roman" w:cs="Times New Roman"/>
          <w:sz w:val="22"/>
          <w:lang w:val="ru-RU" w:eastAsia="ru-RU"/>
        </w:rPr>
        <w:t>направления Запроса</w:t>
      </w:r>
      <w:r w:rsidRPr="009B7F11">
        <w:rPr>
          <w:rFonts w:eastAsia="Times New Roman" w:cs="Times New Roman"/>
          <w:sz w:val="22"/>
          <w:lang w:val="ru-RU" w:eastAsia="ru-RU"/>
        </w:rPr>
        <w:t xml:space="preserve"> должен направить в Депозитарий</w:t>
      </w:r>
      <w:r w:rsidR="007B6446" w:rsidRPr="009B7F11">
        <w:rPr>
          <w:rFonts w:eastAsia="Times New Roman" w:cs="Times New Roman"/>
          <w:sz w:val="22"/>
          <w:lang w:val="ru-RU" w:eastAsia="ru-RU"/>
        </w:rPr>
        <w:t>:</w:t>
      </w:r>
    </w:p>
    <w:p w14:paraId="4CE20A24" w14:textId="13A245CB" w:rsidR="00E837BB" w:rsidRPr="009B7F11" w:rsidRDefault="00E837BB" w:rsidP="009B7F11">
      <w:pPr>
        <w:numPr>
          <w:ilvl w:val="1"/>
          <w:numId w:val="11"/>
        </w:numPr>
        <w:spacing w:line="180" w:lineRule="atLeast"/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>сведения, позволяющие идентифицировать владельца Ценных бумаг (лицо, осуществляющее права по Ценным бумагам), который (которое) имеет право на получение Выплаты, или выгодоприобретателя (</w:t>
      </w:r>
      <w:r w:rsidRPr="009B7F11">
        <w:rPr>
          <w:sz w:val="22"/>
          <w:lang w:val="ru-RU"/>
        </w:rPr>
        <w:t>бенефициарного</w:t>
      </w:r>
      <w:r w:rsidRPr="009B7F11">
        <w:rPr>
          <w:rFonts w:eastAsia="Times New Roman" w:cs="Times New Roman"/>
          <w:sz w:val="22"/>
          <w:lang w:val="ru-RU" w:eastAsia="ru-RU"/>
        </w:rPr>
        <w:t xml:space="preserve"> владельца) иностранной организации, в том числе не являющейся юридическим лицом в соответствии с личным законом, являющейся акционером или держателем депозитарных расписок (далее - держатель Ценных бумаг), включая сведения о гражданстве (подданстве) или регистрации в соответствии с личным законом, сведения о наличии или об отсутствии статуса резидента в соответствии с Федеральным </w:t>
      </w:r>
      <w:hyperlink r:id="rId11" w:history="1">
        <w:r w:rsidRPr="009B7F11">
          <w:rPr>
            <w:rFonts w:eastAsia="Times New Roman" w:cs="Times New Roman"/>
            <w:sz w:val="22"/>
            <w:lang w:val="ru-RU" w:eastAsia="ru-RU"/>
          </w:rPr>
          <w:t>законом</w:t>
        </w:r>
      </w:hyperlink>
      <w:r w:rsidRPr="009B7F11">
        <w:rPr>
          <w:rFonts w:eastAsia="Times New Roman" w:cs="Times New Roman"/>
          <w:sz w:val="22"/>
          <w:lang w:val="ru-RU" w:eastAsia="ru-RU"/>
        </w:rPr>
        <w:t xml:space="preserve"> от 10.12.2003 N </w:t>
      </w:r>
      <w:r w:rsidRPr="009B7F11">
        <w:rPr>
          <w:rFonts w:eastAsia="Times New Roman" w:cs="Times New Roman"/>
          <w:sz w:val="22"/>
          <w:lang w:val="ru-RU" w:eastAsia="ru-RU"/>
        </w:rPr>
        <w:lastRenderedPageBreak/>
        <w:t xml:space="preserve">173-ФЗ "О валютном регулировании и валютном контроле" держателя Ценных бумаг, в том числе сведения о том, является ли держатель Ценных бумаг лицом, указанным в </w:t>
      </w:r>
      <w:hyperlink r:id="rId12" w:history="1">
        <w:r w:rsidRPr="009B7F11">
          <w:rPr>
            <w:rFonts w:eastAsia="Times New Roman" w:cs="Times New Roman"/>
            <w:sz w:val="22"/>
            <w:lang w:val="ru-RU" w:eastAsia="ru-RU"/>
          </w:rPr>
          <w:t>пункте 12</w:t>
        </w:r>
      </w:hyperlink>
      <w:r w:rsidRPr="009B7F11">
        <w:rPr>
          <w:rFonts w:eastAsia="Times New Roman" w:cs="Times New Roman"/>
          <w:sz w:val="22"/>
          <w:lang w:val="ru-RU" w:eastAsia="ru-RU"/>
        </w:rPr>
        <w:t xml:space="preserve"> Указа N 95, или </w:t>
      </w:r>
      <w:hyperlink r:id="rId13" w:history="1">
        <w:r w:rsidRPr="009B7F11">
          <w:rPr>
            <w:rFonts w:eastAsia="Times New Roman" w:cs="Times New Roman"/>
            <w:sz w:val="22"/>
            <w:lang w:val="ru-RU" w:eastAsia="ru-RU"/>
          </w:rPr>
          <w:t>пункте 4</w:t>
        </w:r>
      </w:hyperlink>
      <w:r w:rsidRPr="009B7F11">
        <w:rPr>
          <w:rFonts w:eastAsia="Times New Roman" w:cs="Times New Roman"/>
          <w:sz w:val="22"/>
          <w:lang w:val="ru-RU" w:eastAsia="ru-RU"/>
        </w:rPr>
        <w:t xml:space="preserve"> Указа Президента Российской Федерации от 04.05.2022 N 254 "О временном порядке исполнения финансовых обязательств в сфере корпоративных отношений перед некоторыми иностранными кредиторами" (далее - Указ N 254), или </w:t>
      </w:r>
      <w:hyperlink r:id="rId14" w:history="1">
        <w:r w:rsidRPr="009B7F11">
          <w:rPr>
            <w:rFonts w:eastAsia="Times New Roman" w:cs="Times New Roman"/>
            <w:sz w:val="22"/>
            <w:lang w:val="ru-RU" w:eastAsia="ru-RU"/>
          </w:rPr>
          <w:t>подпункте "в" пункта 1</w:t>
        </w:r>
      </w:hyperlink>
      <w:r w:rsidRPr="009B7F11">
        <w:rPr>
          <w:rFonts w:eastAsia="Times New Roman" w:cs="Times New Roman"/>
          <w:sz w:val="22"/>
          <w:lang w:val="ru-RU" w:eastAsia="ru-RU"/>
        </w:rPr>
        <w:t xml:space="preserve"> Указа Президента Российской Федерации от 15.10.2022 N 738 "О применении некоторых Указов Президента Российской Федерации" (далее - Указ N 738);</w:t>
      </w:r>
    </w:p>
    <w:p w14:paraId="5A172BAC" w14:textId="1C5428CC" w:rsidR="002A650F" w:rsidRPr="009B7F11" w:rsidRDefault="002A650F" w:rsidP="009B7F11">
      <w:pPr>
        <w:numPr>
          <w:ilvl w:val="1"/>
          <w:numId w:val="11"/>
        </w:numPr>
        <w:spacing w:line="180" w:lineRule="atLeast"/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>документы, подтверждающие следующие обстоятельства, одновременно с заверениями о таких обстоятельствах</w:t>
      </w:r>
      <w:r w:rsidR="008B65E5" w:rsidRPr="009B7F11">
        <w:rPr>
          <w:rFonts w:eastAsia="Times New Roman" w:cs="Times New Roman"/>
          <w:sz w:val="22"/>
          <w:lang w:val="ru-RU" w:eastAsia="ru-RU"/>
        </w:rPr>
        <w:t xml:space="preserve">, в случае если Выплаты требуется перевести на банковский счет (не тип «С») держателя </w:t>
      </w:r>
      <w:r w:rsidR="009B7F11">
        <w:rPr>
          <w:rFonts w:eastAsia="Times New Roman" w:cs="Times New Roman"/>
          <w:sz w:val="22"/>
          <w:lang w:val="ru-RU" w:eastAsia="ru-RU"/>
        </w:rPr>
        <w:t>Ц</w:t>
      </w:r>
      <w:r w:rsidR="008B65E5" w:rsidRPr="009B7F11">
        <w:rPr>
          <w:rFonts w:eastAsia="Times New Roman" w:cs="Times New Roman"/>
          <w:sz w:val="22"/>
          <w:lang w:val="ru-RU" w:eastAsia="ru-RU"/>
        </w:rPr>
        <w:t>енных бумаг</w:t>
      </w:r>
      <w:r w:rsidRPr="009B7F11">
        <w:rPr>
          <w:rFonts w:eastAsia="Times New Roman" w:cs="Times New Roman"/>
          <w:sz w:val="22"/>
          <w:lang w:val="ru-RU" w:eastAsia="ru-RU"/>
        </w:rPr>
        <w:t>:</w:t>
      </w:r>
    </w:p>
    <w:p w14:paraId="45F35D5F" w14:textId="0CED434B" w:rsidR="002A650F" w:rsidRPr="009B7F11" w:rsidRDefault="002A650F" w:rsidP="009B7F11">
      <w:pPr>
        <w:numPr>
          <w:ilvl w:val="0"/>
          <w:numId w:val="14"/>
        </w:numPr>
        <w:tabs>
          <w:tab w:val="clear" w:pos="720"/>
          <w:tab w:val="left" w:pos="851"/>
        </w:tabs>
        <w:ind w:left="851" w:firstLine="0"/>
        <w:jc w:val="both"/>
        <w:textAlignment w:val="baseline"/>
        <w:rPr>
          <w:rFonts w:eastAsia="Times New Roman" w:cs="Arial"/>
          <w:color w:val="000C1A"/>
          <w:spacing w:val="5"/>
          <w:sz w:val="22"/>
          <w:lang w:val="ru-RU" w:eastAsia="ru-RU"/>
        </w:rPr>
      </w:pP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>после 01.03.2022 лицами, осуществляющими права по Ценным бумагам, не являлись лица, указанные в пункте 1 Указа № 95</w:t>
      </w:r>
      <w:r w:rsidR="007B1486"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 (например, для юридических лиц - структура владения, выписка из о торгового реестра за период, включающий дату</w:t>
      </w:r>
      <w:r w:rsidR="007B1486" w:rsidRPr="009B7F11">
        <w:rPr>
          <w:rFonts w:eastAsia="Times New Roman" w:cs="Times New Roman"/>
          <w:sz w:val="22"/>
          <w:lang w:val="ru-RU" w:eastAsia="ru-RU"/>
        </w:rPr>
        <w:t>, на которую определяются лица, имеющие право на получение Выплат</w:t>
      </w:r>
      <w:r w:rsidR="005804D7" w:rsidRPr="009B7F11">
        <w:rPr>
          <w:rFonts w:eastAsia="Times New Roman" w:cs="Times New Roman"/>
          <w:sz w:val="22"/>
          <w:lang w:val="ru-RU" w:eastAsia="ru-RU"/>
        </w:rPr>
        <w:t xml:space="preserve"> (далее Дата фиксации)</w:t>
      </w: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>;</w:t>
      </w:r>
      <w:r w:rsidR="007B1486"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 для физических лиц – паспорт/вид на жительство);</w:t>
      </w:r>
    </w:p>
    <w:p w14:paraId="2451D0F7" w14:textId="053B55BD" w:rsidR="002A650F" w:rsidRPr="009B7F11" w:rsidRDefault="002A650F" w:rsidP="009B7F11">
      <w:pPr>
        <w:numPr>
          <w:ilvl w:val="0"/>
          <w:numId w:val="14"/>
        </w:numPr>
        <w:tabs>
          <w:tab w:val="clear" w:pos="720"/>
          <w:tab w:val="left" w:pos="851"/>
        </w:tabs>
        <w:ind w:left="851" w:firstLine="0"/>
        <w:jc w:val="both"/>
        <w:textAlignment w:val="baseline"/>
        <w:rPr>
          <w:rFonts w:eastAsia="Times New Roman" w:cs="Arial"/>
          <w:color w:val="000C1A"/>
          <w:spacing w:val="5"/>
          <w:sz w:val="22"/>
          <w:lang w:val="ru-RU" w:eastAsia="ru-RU"/>
        </w:rPr>
      </w:pP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>информацию и документы, позволяющие определить стороны по сделке, дату заключения сделки, дату и место расчетов по сделке</w:t>
      </w:r>
      <w:r w:rsidR="008B65E5"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, </w:t>
      </w: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>если такая сделка была совершена с переходом права собственности на Ценные бумаги после 01.03.2022</w:t>
      </w:r>
      <w:r w:rsidR="008B65E5"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 (при отсутствии таких сделок необходимо предоставить подтверждающие документы, например, выписка по счету депо держателя ценных бумаг </w:t>
      </w:r>
      <w:r w:rsidR="005804D7"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за период с 01.03.2022 до Даты фиксации </w:t>
      </w:r>
    </w:p>
    <w:p w14:paraId="71CA6A32" w14:textId="77777777" w:rsidR="002A650F" w:rsidRPr="009B7F11" w:rsidRDefault="002A650F" w:rsidP="009B7F11">
      <w:pPr>
        <w:numPr>
          <w:ilvl w:val="0"/>
          <w:numId w:val="14"/>
        </w:numPr>
        <w:tabs>
          <w:tab w:val="clear" w:pos="720"/>
          <w:tab w:val="left" w:pos="851"/>
        </w:tabs>
        <w:ind w:left="851" w:firstLine="0"/>
        <w:jc w:val="both"/>
        <w:textAlignment w:val="baseline"/>
        <w:rPr>
          <w:rFonts w:eastAsia="Times New Roman" w:cs="Arial"/>
          <w:color w:val="000C1A"/>
          <w:spacing w:val="5"/>
          <w:sz w:val="22"/>
          <w:lang w:val="ru-RU" w:eastAsia="ru-RU"/>
        </w:rPr>
      </w:pP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>сведения о сделках, влекущих переход права собственности на Ценные бумаги, совершенные с соблюдением требований Указов Президента Российской Федерации, если такие сделки совершались.</w:t>
      </w:r>
    </w:p>
    <w:p w14:paraId="4749270D" w14:textId="5DF0B590" w:rsidR="007B6446" w:rsidRPr="009B7F11" w:rsidRDefault="007B6446" w:rsidP="009B7F11">
      <w:pPr>
        <w:numPr>
          <w:ilvl w:val="1"/>
          <w:numId w:val="11"/>
        </w:numPr>
        <w:spacing w:line="180" w:lineRule="atLeast"/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>сведения (документы), необходимые для удержания налога;</w:t>
      </w:r>
    </w:p>
    <w:p w14:paraId="5185C677" w14:textId="5054DDB2" w:rsidR="007B6446" w:rsidRPr="009B7F11" w:rsidRDefault="007B6446" w:rsidP="009B7F11">
      <w:pPr>
        <w:numPr>
          <w:ilvl w:val="1"/>
          <w:numId w:val="11"/>
        </w:numPr>
        <w:spacing w:line="180" w:lineRule="atLeast"/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сведения о количестве </w:t>
      </w:r>
      <w:r w:rsidR="00E837BB" w:rsidRPr="009B7F11">
        <w:rPr>
          <w:rFonts w:eastAsia="Times New Roman" w:cs="Times New Roman"/>
          <w:sz w:val="22"/>
          <w:lang w:val="ru-RU" w:eastAsia="ru-RU"/>
        </w:rPr>
        <w:t>Ценных бумаг</w:t>
      </w:r>
      <w:r w:rsidRPr="009B7F11">
        <w:rPr>
          <w:rFonts w:eastAsia="Times New Roman" w:cs="Times New Roman"/>
          <w:sz w:val="22"/>
          <w:lang w:val="ru-RU" w:eastAsia="ru-RU"/>
        </w:rPr>
        <w:t xml:space="preserve">, права по которым осуществлял держатель ценных бумаг, на конец операционного дня </w:t>
      </w:r>
      <w:r w:rsidR="005804D7" w:rsidRPr="009B7F11">
        <w:rPr>
          <w:rFonts w:eastAsia="Times New Roman" w:cs="Times New Roman"/>
          <w:sz w:val="22"/>
          <w:lang w:val="ru-RU" w:eastAsia="ru-RU"/>
        </w:rPr>
        <w:t>Даты фиксации (</w:t>
      </w:r>
      <w:r w:rsidRPr="009B7F11">
        <w:rPr>
          <w:rFonts w:eastAsia="Times New Roman" w:cs="Times New Roman"/>
          <w:sz w:val="22"/>
          <w:lang w:val="ru-RU" w:eastAsia="ru-RU"/>
        </w:rPr>
        <w:t xml:space="preserve">даты, на которую определяются лица, имеющие право на получение </w:t>
      </w:r>
      <w:r w:rsidR="00435B7E" w:rsidRPr="009B7F11">
        <w:rPr>
          <w:rFonts w:eastAsia="Times New Roman" w:cs="Times New Roman"/>
          <w:sz w:val="22"/>
          <w:lang w:val="ru-RU" w:eastAsia="ru-RU"/>
        </w:rPr>
        <w:t>Выплаты</w:t>
      </w:r>
      <w:r w:rsidRPr="009B7F11">
        <w:rPr>
          <w:rFonts w:eastAsia="Times New Roman" w:cs="Times New Roman"/>
          <w:sz w:val="22"/>
          <w:lang w:val="ru-RU" w:eastAsia="ru-RU"/>
        </w:rPr>
        <w:t xml:space="preserve">; </w:t>
      </w:r>
    </w:p>
    <w:p w14:paraId="3EC36C69" w14:textId="7DC1D140" w:rsidR="00F202F5" w:rsidRPr="009B7F11" w:rsidRDefault="007B6446" w:rsidP="009B7F11">
      <w:pPr>
        <w:numPr>
          <w:ilvl w:val="1"/>
          <w:numId w:val="11"/>
        </w:numPr>
        <w:spacing w:line="180" w:lineRule="atLeast"/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>сведения о реквизитах банковского счета держат</w:t>
      </w:r>
      <w:r w:rsidR="00066936" w:rsidRPr="009B7F11">
        <w:rPr>
          <w:rFonts w:eastAsia="Times New Roman" w:cs="Times New Roman"/>
          <w:sz w:val="22"/>
          <w:lang w:val="ru-RU" w:eastAsia="ru-RU"/>
        </w:rPr>
        <w:t>еля ценных бумаг или по выбору держателя ценных бумаг – о реквизитах банковского счета иностранного номинального держателя, депонентом которого является держатель ценных бумаг, если такой иностранный номинальный держатель является депонентом Депозитария</w:t>
      </w:r>
      <w:r w:rsidR="00E570FB" w:rsidRPr="009B7F11">
        <w:rPr>
          <w:rFonts w:eastAsia="Times New Roman" w:cs="Times New Roman"/>
          <w:sz w:val="22"/>
          <w:lang w:val="ru-RU" w:eastAsia="ru-RU"/>
        </w:rPr>
        <w:t>, в том числе о реквизитах банковского счета типа «С» (указываются при наличии) в предусмотренных законодательством Российской Федерации случаях.</w:t>
      </w:r>
    </w:p>
    <w:p w14:paraId="0F856ECD" w14:textId="77777777" w:rsidR="00726E77" w:rsidRPr="009B7F11" w:rsidRDefault="00726E77" w:rsidP="00884A7D">
      <w:pPr>
        <w:ind w:left="1440"/>
        <w:textAlignment w:val="baseline"/>
        <w:rPr>
          <w:rFonts w:eastAsia="Times New Roman" w:cs="Times New Roman"/>
          <w:sz w:val="22"/>
          <w:lang w:val="ru-RU" w:eastAsia="ru-RU"/>
        </w:rPr>
      </w:pPr>
    </w:p>
    <w:p w14:paraId="54F2F3A4" w14:textId="1E308B01" w:rsidR="00435B7E" w:rsidRPr="009B7F11" w:rsidRDefault="00435B7E" w:rsidP="004C5807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>Депозитарий в течение 3 рабочих дней со дня поступления к нему всей запрошенной информации и документов о держателе Ценных бумаг, указанных в пункте 3 настоящего Порядка, передает причитающуюся держателю Ценных бумаг Выплату при условии, что указанная информация поступила к нему не позднее 70 календарного дня со дня направления Запроса Депозитария</w:t>
      </w:r>
      <w:r w:rsidR="00CF776B" w:rsidRPr="009B7F11">
        <w:rPr>
          <w:rFonts w:eastAsia="Times New Roman" w:cs="Times New Roman"/>
          <w:sz w:val="22"/>
          <w:lang w:val="ru-RU" w:eastAsia="ru-RU"/>
        </w:rPr>
        <w:t>.</w:t>
      </w:r>
    </w:p>
    <w:p w14:paraId="475179CF" w14:textId="0CEAB1D7" w:rsidR="00CF776B" w:rsidRDefault="00CF776B" w:rsidP="009B7F11">
      <w:pPr>
        <w:ind w:left="360"/>
        <w:jc w:val="both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>В случае поступления информации о держателе Ценных бумаг позднее 70 календарного дня со дня направления Запроса Депозитария, Депозитарий направляет иностранным номинальным держателям, от которых соответствующая информация получена, уведомления о невозможности передачи Выплаты в соответствии с настоящим пунктом в связи с окончанием срока приема информации.</w:t>
      </w:r>
    </w:p>
    <w:p w14:paraId="22B53237" w14:textId="77777777" w:rsidR="009B7F11" w:rsidRPr="009B7F11" w:rsidRDefault="009B7F11" w:rsidP="009B7F11">
      <w:pPr>
        <w:ind w:left="360"/>
        <w:jc w:val="both"/>
        <w:rPr>
          <w:rFonts w:eastAsia="Times New Roman" w:cs="Times New Roman"/>
          <w:sz w:val="22"/>
          <w:lang w:val="ru-RU" w:eastAsia="ru-RU"/>
        </w:rPr>
      </w:pPr>
    </w:p>
    <w:p w14:paraId="4C7630D6" w14:textId="4D5E018F" w:rsidR="005A4E30" w:rsidRPr="009B7F11" w:rsidRDefault="005A4E30" w:rsidP="009B7F11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Если </w:t>
      </w:r>
      <w:r w:rsidR="00094E85" w:rsidRPr="009B7F11">
        <w:rPr>
          <w:rFonts w:eastAsia="Times New Roman" w:cs="Times New Roman"/>
          <w:sz w:val="22"/>
          <w:lang w:val="ru-RU" w:eastAsia="ru-RU"/>
        </w:rPr>
        <w:t xml:space="preserve">вся </w:t>
      </w:r>
      <w:r w:rsidR="001F4833" w:rsidRPr="009B7F11">
        <w:rPr>
          <w:rFonts w:eastAsia="Times New Roman" w:cs="Times New Roman"/>
          <w:sz w:val="22"/>
          <w:lang w:val="ru-RU" w:eastAsia="ru-RU"/>
        </w:rPr>
        <w:t xml:space="preserve">запрошенная информация </w:t>
      </w:r>
      <w:r w:rsidR="00094E85" w:rsidRPr="009B7F11">
        <w:rPr>
          <w:rFonts w:eastAsia="Times New Roman" w:cs="Times New Roman"/>
          <w:sz w:val="22"/>
          <w:lang w:val="ru-RU" w:eastAsia="ru-RU"/>
        </w:rPr>
        <w:t>и документы о держателе Ценных бумаг</w:t>
      </w:r>
      <w:r w:rsidR="00CF776B" w:rsidRPr="009B7F11">
        <w:rPr>
          <w:rFonts w:eastAsia="Times New Roman" w:cs="Times New Roman"/>
          <w:sz w:val="22"/>
          <w:lang w:val="ru-RU" w:eastAsia="ru-RU"/>
        </w:rPr>
        <w:t>, указанная в п.3 Порядка,</w:t>
      </w:r>
      <w:r w:rsidR="00094E85" w:rsidRPr="009B7F11">
        <w:rPr>
          <w:rFonts w:eastAsia="Times New Roman" w:cs="Times New Roman"/>
          <w:sz w:val="22"/>
          <w:lang w:val="ru-RU" w:eastAsia="ru-RU"/>
        </w:rPr>
        <w:t xml:space="preserve"> </w:t>
      </w:r>
      <w:r w:rsidR="001F4833" w:rsidRPr="009B7F11">
        <w:rPr>
          <w:rFonts w:eastAsia="Times New Roman" w:cs="Times New Roman"/>
          <w:sz w:val="22"/>
          <w:lang w:val="ru-RU" w:eastAsia="ru-RU"/>
        </w:rPr>
        <w:t>не была предоставлена в Депозитарий иностранным номинальным держателем</w:t>
      </w:r>
      <w:r w:rsidR="00094E85" w:rsidRPr="009B7F11">
        <w:rPr>
          <w:rFonts w:eastAsia="Times New Roman" w:cs="Times New Roman"/>
          <w:sz w:val="22"/>
          <w:lang w:val="ru-RU" w:eastAsia="ru-RU"/>
        </w:rPr>
        <w:t xml:space="preserve"> –</w:t>
      </w:r>
      <w:r w:rsidR="001F4833" w:rsidRPr="009B7F11">
        <w:rPr>
          <w:rFonts w:eastAsia="Times New Roman" w:cs="Times New Roman"/>
          <w:sz w:val="22"/>
          <w:lang w:val="ru-RU" w:eastAsia="ru-RU"/>
        </w:rPr>
        <w:t xml:space="preserve"> </w:t>
      </w:r>
      <w:r w:rsidR="00094E85" w:rsidRPr="009B7F11">
        <w:rPr>
          <w:rFonts w:eastAsia="Times New Roman" w:cs="Times New Roman"/>
          <w:sz w:val="22"/>
          <w:lang w:val="ru-RU" w:eastAsia="ru-RU"/>
        </w:rPr>
        <w:t xml:space="preserve">депонентом Депозитария </w:t>
      </w:r>
      <w:r w:rsidR="001F4833" w:rsidRPr="009B7F11">
        <w:rPr>
          <w:rFonts w:eastAsia="Times New Roman" w:cs="Times New Roman"/>
          <w:sz w:val="22"/>
          <w:lang w:val="ru-RU" w:eastAsia="ru-RU"/>
        </w:rPr>
        <w:t>в указанные сроки или была предоставлена позже 70</w:t>
      </w:r>
      <w:r w:rsidR="00827FB2" w:rsidRPr="009B7F11">
        <w:rPr>
          <w:rFonts w:eastAsia="Times New Roman" w:cs="Times New Roman"/>
          <w:sz w:val="22"/>
          <w:lang w:val="ru-RU" w:eastAsia="ru-RU"/>
        </w:rPr>
        <w:t>-</w:t>
      </w:r>
      <w:r w:rsidR="001F4833" w:rsidRPr="009B7F11">
        <w:rPr>
          <w:rFonts w:eastAsia="Times New Roman" w:cs="Times New Roman"/>
          <w:sz w:val="22"/>
          <w:lang w:val="ru-RU" w:eastAsia="ru-RU"/>
        </w:rPr>
        <w:t xml:space="preserve">дневного срока с момента направления </w:t>
      </w:r>
      <w:r w:rsidR="00DA6CFC" w:rsidRPr="009B7F11">
        <w:rPr>
          <w:rFonts w:eastAsia="Times New Roman" w:cs="Times New Roman"/>
          <w:sz w:val="22"/>
          <w:lang w:val="ru-RU" w:eastAsia="ru-RU"/>
        </w:rPr>
        <w:t>З</w:t>
      </w:r>
      <w:r w:rsidR="001F4833" w:rsidRPr="009B7F11">
        <w:rPr>
          <w:rFonts w:eastAsia="Times New Roman" w:cs="Times New Roman"/>
          <w:sz w:val="22"/>
          <w:lang w:val="ru-RU" w:eastAsia="ru-RU"/>
        </w:rPr>
        <w:t>апроса</w:t>
      </w:r>
      <w:r w:rsidRPr="009B7F11">
        <w:rPr>
          <w:rFonts w:eastAsia="Times New Roman" w:cs="Times New Roman"/>
          <w:sz w:val="22"/>
          <w:lang w:val="ru-RU" w:eastAsia="ru-RU"/>
        </w:rPr>
        <w:t xml:space="preserve">, то в течение </w:t>
      </w:r>
      <w:r w:rsidR="00DA6CFC" w:rsidRPr="009B7F11">
        <w:rPr>
          <w:rFonts w:eastAsia="Times New Roman" w:cs="Times New Roman"/>
          <w:sz w:val="22"/>
          <w:lang w:val="ru-RU" w:eastAsia="ru-RU"/>
        </w:rPr>
        <w:t>3</w:t>
      </w:r>
      <w:r w:rsidRPr="009B7F11">
        <w:rPr>
          <w:rFonts w:eastAsia="Times New Roman" w:cs="Times New Roman"/>
          <w:sz w:val="22"/>
          <w:lang w:val="ru-RU" w:eastAsia="ru-RU"/>
        </w:rPr>
        <w:t xml:space="preserve">0 рабочих дней </w:t>
      </w:r>
      <w:r w:rsidR="004951BB" w:rsidRPr="009B7F11">
        <w:rPr>
          <w:rFonts w:eastAsia="Times New Roman" w:cs="Times New Roman"/>
          <w:sz w:val="22"/>
          <w:lang w:val="ru-RU" w:eastAsia="ru-RU"/>
        </w:rPr>
        <w:t xml:space="preserve">после окончания срока передачи Выплаты </w:t>
      </w:r>
      <w:r w:rsidR="00DA6CFC" w:rsidRPr="009B7F11">
        <w:rPr>
          <w:rFonts w:eastAsia="Times New Roman" w:cs="Times New Roman"/>
          <w:sz w:val="22"/>
          <w:lang w:val="ru-RU" w:eastAsia="ru-RU"/>
        </w:rPr>
        <w:t xml:space="preserve">держатель Ценных бумаг </w:t>
      </w:r>
      <w:r w:rsidR="001C34A3" w:rsidRPr="009B7F11">
        <w:rPr>
          <w:rFonts w:eastAsia="Times New Roman" w:cs="Times New Roman"/>
          <w:sz w:val="22"/>
          <w:lang w:val="ru-RU" w:eastAsia="ru-RU"/>
        </w:rPr>
        <w:t>(далее – Заявитель), не получивший денежные средства, вправе</w:t>
      </w:r>
      <w:r w:rsidR="00827FB2" w:rsidRPr="009B7F11">
        <w:rPr>
          <w:rFonts w:eastAsia="Times New Roman" w:cs="Times New Roman"/>
          <w:sz w:val="22"/>
          <w:lang w:val="ru-RU" w:eastAsia="ru-RU"/>
        </w:rPr>
        <w:t xml:space="preserve"> подать в Д</w:t>
      </w:r>
      <w:r w:rsidRPr="009B7F11">
        <w:rPr>
          <w:rFonts w:eastAsia="Times New Roman" w:cs="Times New Roman"/>
          <w:sz w:val="22"/>
          <w:lang w:val="ru-RU" w:eastAsia="ru-RU"/>
        </w:rPr>
        <w:t>епозитари</w:t>
      </w:r>
      <w:r w:rsidR="00827FB2" w:rsidRPr="009B7F11">
        <w:rPr>
          <w:rFonts w:eastAsia="Times New Roman" w:cs="Times New Roman"/>
          <w:sz w:val="22"/>
          <w:lang w:val="ru-RU" w:eastAsia="ru-RU"/>
        </w:rPr>
        <w:t>й</w:t>
      </w:r>
      <w:r w:rsidRPr="009B7F11">
        <w:rPr>
          <w:rFonts w:eastAsia="Times New Roman" w:cs="Times New Roman"/>
          <w:sz w:val="22"/>
          <w:lang w:val="ru-RU" w:eastAsia="ru-RU"/>
        </w:rPr>
        <w:t xml:space="preserve"> </w:t>
      </w:r>
      <w:r w:rsidR="00827FB2" w:rsidRPr="009B7F11">
        <w:rPr>
          <w:rFonts w:eastAsia="Times New Roman" w:cs="Times New Roman"/>
          <w:sz w:val="22"/>
          <w:lang w:val="ru-RU" w:eastAsia="ru-RU"/>
        </w:rPr>
        <w:t>з</w:t>
      </w:r>
      <w:r w:rsidRPr="009B7F11">
        <w:rPr>
          <w:rFonts w:eastAsia="Times New Roman" w:cs="Times New Roman"/>
          <w:sz w:val="22"/>
          <w:lang w:val="ru-RU" w:eastAsia="ru-RU"/>
        </w:rPr>
        <w:t>аявлени</w:t>
      </w:r>
      <w:r w:rsidR="00827FB2" w:rsidRPr="009B7F11">
        <w:rPr>
          <w:rFonts w:eastAsia="Times New Roman" w:cs="Times New Roman"/>
          <w:sz w:val="22"/>
          <w:lang w:val="ru-RU" w:eastAsia="ru-RU"/>
        </w:rPr>
        <w:t>е</w:t>
      </w:r>
      <w:r w:rsidRPr="009B7F11">
        <w:rPr>
          <w:rFonts w:eastAsia="Times New Roman" w:cs="Times New Roman"/>
          <w:sz w:val="22"/>
          <w:lang w:val="ru-RU" w:eastAsia="ru-RU"/>
        </w:rPr>
        <w:t xml:space="preserve"> о </w:t>
      </w:r>
      <w:r w:rsidR="00DA6CFC" w:rsidRPr="009B7F11">
        <w:rPr>
          <w:rFonts w:eastAsia="Times New Roman" w:cs="Times New Roman"/>
          <w:sz w:val="22"/>
          <w:lang w:val="ru-RU" w:eastAsia="ru-RU"/>
        </w:rPr>
        <w:t>В</w:t>
      </w:r>
      <w:r w:rsidRPr="009B7F11">
        <w:rPr>
          <w:rFonts w:eastAsia="Times New Roman" w:cs="Times New Roman"/>
          <w:sz w:val="22"/>
          <w:lang w:val="ru-RU" w:eastAsia="ru-RU"/>
        </w:rPr>
        <w:t xml:space="preserve">ыплате </w:t>
      </w:r>
      <w:r w:rsidR="00DA6CFC" w:rsidRPr="009B7F11">
        <w:rPr>
          <w:rFonts w:eastAsia="Times New Roman" w:cs="Times New Roman"/>
          <w:sz w:val="22"/>
          <w:lang w:val="ru-RU" w:eastAsia="ru-RU"/>
        </w:rPr>
        <w:t xml:space="preserve">денежных средств </w:t>
      </w:r>
      <w:r w:rsidRPr="009B7F11">
        <w:rPr>
          <w:rFonts w:eastAsia="Times New Roman" w:cs="Times New Roman"/>
          <w:sz w:val="22"/>
          <w:lang w:val="ru-RU" w:eastAsia="ru-RU"/>
        </w:rPr>
        <w:t>(далее – Заявлени</w:t>
      </w:r>
      <w:r w:rsidR="001C34A3" w:rsidRPr="009B7F11">
        <w:rPr>
          <w:rFonts w:eastAsia="Times New Roman" w:cs="Times New Roman"/>
          <w:sz w:val="22"/>
          <w:lang w:val="ru-RU" w:eastAsia="ru-RU"/>
        </w:rPr>
        <w:t>е</w:t>
      </w:r>
      <w:r w:rsidRPr="009B7F11">
        <w:rPr>
          <w:rFonts w:eastAsia="Times New Roman" w:cs="Times New Roman"/>
          <w:sz w:val="22"/>
          <w:lang w:val="ru-RU" w:eastAsia="ru-RU"/>
        </w:rPr>
        <w:t>)</w:t>
      </w:r>
      <w:r w:rsidR="001C34A3" w:rsidRPr="009B7F11">
        <w:rPr>
          <w:rFonts w:eastAsia="Times New Roman" w:cs="Times New Roman"/>
          <w:sz w:val="22"/>
          <w:lang w:val="ru-RU" w:eastAsia="ru-RU"/>
        </w:rPr>
        <w:t xml:space="preserve"> </w:t>
      </w:r>
      <w:r w:rsidR="004951BB" w:rsidRPr="009B7F11">
        <w:rPr>
          <w:rFonts w:eastAsia="Times New Roman" w:cs="Times New Roman"/>
          <w:sz w:val="22"/>
          <w:lang w:val="ru-RU" w:eastAsia="ru-RU"/>
        </w:rPr>
        <w:t>и прилагаемых к нему документов, предусмотренных п. 3 Порядка.</w:t>
      </w:r>
    </w:p>
    <w:p w14:paraId="01F81179" w14:textId="591348B9" w:rsidR="004951BB" w:rsidRDefault="004951BB" w:rsidP="009B7F11">
      <w:pPr>
        <w:ind w:left="360"/>
        <w:jc w:val="both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Депозитарий рассматривает Заявление о передаче Выплаты при условии, что оно содержит информацию, предусмотренную п. 3 Порядка, и информацию и документы об осуществляющей учет прав заявителя на Ценные бумаги иностранной организации, имеющей право в соответствии с ее личным законом осуществлять учет и переход прав на ценные бумаги (в том числе иностранном номинальном держателе, на счете депо которого учитываются Ценные бумаги) (далее при совместном </w:t>
      </w:r>
      <w:r w:rsidRPr="009B7F11">
        <w:rPr>
          <w:rFonts w:eastAsia="Times New Roman" w:cs="Times New Roman"/>
          <w:sz w:val="22"/>
          <w:lang w:val="ru-RU" w:eastAsia="ru-RU"/>
        </w:rPr>
        <w:lastRenderedPageBreak/>
        <w:t xml:space="preserve">упоминании - иностранный депозитарий), и о вышестоящих номинальных держателях (иностранных депозитариях), а также при условии, что к нему прилагаются документы, доступные в сложившихся обстоятельствах и свидетельствующие о принадлежности </w:t>
      </w:r>
      <w:r w:rsidR="00DB6891" w:rsidRPr="009B7F11">
        <w:rPr>
          <w:rFonts w:eastAsia="Times New Roman" w:cs="Times New Roman"/>
          <w:sz w:val="22"/>
          <w:lang w:val="ru-RU" w:eastAsia="ru-RU"/>
        </w:rPr>
        <w:t xml:space="preserve">Заявителю </w:t>
      </w:r>
      <w:r w:rsidRPr="009B7F11">
        <w:rPr>
          <w:rFonts w:eastAsia="Times New Roman" w:cs="Times New Roman"/>
          <w:sz w:val="22"/>
          <w:lang w:val="ru-RU" w:eastAsia="ru-RU"/>
        </w:rPr>
        <w:t xml:space="preserve">указанного в </w:t>
      </w:r>
      <w:r w:rsidR="00DB6891" w:rsidRPr="009B7F11">
        <w:rPr>
          <w:rFonts w:eastAsia="Times New Roman" w:cs="Times New Roman"/>
          <w:sz w:val="22"/>
          <w:lang w:val="ru-RU" w:eastAsia="ru-RU"/>
        </w:rPr>
        <w:t xml:space="preserve">Заявлении </w:t>
      </w:r>
      <w:r w:rsidRPr="009B7F11">
        <w:rPr>
          <w:rFonts w:eastAsia="Times New Roman" w:cs="Times New Roman"/>
          <w:sz w:val="22"/>
          <w:lang w:val="ru-RU" w:eastAsia="ru-RU"/>
        </w:rPr>
        <w:t>количества Ценных бумаг.</w:t>
      </w:r>
    </w:p>
    <w:p w14:paraId="53D9BB0C" w14:textId="7B2BC08C" w:rsidR="00161DDE" w:rsidRDefault="00161DDE" w:rsidP="009B7F11">
      <w:pPr>
        <w:ind w:left="360"/>
        <w:jc w:val="both"/>
        <w:rPr>
          <w:rFonts w:eastAsia="Times New Roman" w:cs="Times New Roman"/>
          <w:sz w:val="22"/>
          <w:lang w:val="ru-RU" w:eastAsia="ru-RU"/>
        </w:rPr>
      </w:pPr>
      <w:r>
        <w:rPr>
          <w:rFonts w:eastAsia="Times New Roman" w:cs="Times New Roman"/>
          <w:sz w:val="22"/>
          <w:lang w:val="ru-RU" w:eastAsia="ru-RU"/>
        </w:rPr>
        <w:t xml:space="preserve">Заявление и документы </w:t>
      </w:r>
      <w:r w:rsidR="00D635C7" w:rsidRPr="009B7F11">
        <w:rPr>
          <w:rFonts w:eastAsia="Times New Roman" w:cs="Times New Roman"/>
          <w:sz w:val="22"/>
          <w:lang w:val="ru-RU" w:eastAsia="ru-RU"/>
        </w:rPr>
        <w:t>о держателе Ценных бумаг</w:t>
      </w:r>
      <w:r w:rsidR="00D635C7">
        <w:rPr>
          <w:rFonts w:eastAsia="Times New Roman" w:cs="Times New Roman"/>
          <w:sz w:val="22"/>
          <w:lang w:val="ru-RU" w:eastAsia="ru-RU"/>
        </w:rPr>
        <w:t xml:space="preserve"> </w:t>
      </w:r>
      <w:r>
        <w:rPr>
          <w:rFonts w:eastAsia="Times New Roman" w:cs="Times New Roman"/>
          <w:sz w:val="22"/>
          <w:lang w:val="ru-RU" w:eastAsia="ru-RU"/>
        </w:rPr>
        <w:t>должны быть предоставлены</w:t>
      </w:r>
      <w:r w:rsidR="00D635C7">
        <w:rPr>
          <w:rFonts w:eastAsia="Times New Roman" w:cs="Times New Roman"/>
          <w:sz w:val="22"/>
          <w:lang w:val="ru-RU" w:eastAsia="ru-RU"/>
        </w:rPr>
        <w:t xml:space="preserve"> в Депозитарий на бумажном носителе</w:t>
      </w:r>
      <w:r>
        <w:rPr>
          <w:rFonts w:eastAsia="Times New Roman" w:cs="Times New Roman"/>
          <w:sz w:val="22"/>
          <w:lang w:val="ru-RU" w:eastAsia="ru-RU"/>
        </w:rPr>
        <w:t xml:space="preserve"> лично в оригинале или по почте в виде нотариально заверенных копий.</w:t>
      </w:r>
    </w:p>
    <w:p w14:paraId="68213541" w14:textId="77777777" w:rsidR="00453A23" w:rsidRDefault="00D635C7" w:rsidP="00453A23">
      <w:pPr>
        <w:ind w:left="360"/>
        <w:jc w:val="both"/>
        <w:rPr>
          <w:rFonts w:eastAsia="Times New Roman" w:cs="Times New Roman"/>
          <w:sz w:val="22"/>
          <w:lang w:val="ru-RU" w:eastAsia="ru-RU"/>
        </w:rPr>
      </w:pPr>
      <w:r>
        <w:rPr>
          <w:rFonts w:eastAsia="Times New Roman" w:cs="Times New Roman"/>
          <w:sz w:val="22"/>
          <w:lang w:val="ru-RU" w:eastAsia="ru-RU"/>
        </w:rPr>
        <w:t xml:space="preserve">Депозитарий приступает к рассмотрению Заявления и документов </w:t>
      </w:r>
      <w:r w:rsidRPr="009B7F11">
        <w:rPr>
          <w:rFonts w:eastAsia="Times New Roman" w:cs="Times New Roman"/>
          <w:sz w:val="22"/>
          <w:lang w:val="ru-RU" w:eastAsia="ru-RU"/>
        </w:rPr>
        <w:t>о держателе Ценных бумаг</w:t>
      </w:r>
      <w:r>
        <w:rPr>
          <w:rFonts w:eastAsia="Times New Roman" w:cs="Times New Roman"/>
          <w:sz w:val="22"/>
          <w:lang w:val="ru-RU" w:eastAsia="ru-RU"/>
        </w:rPr>
        <w:t xml:space="preserve"> только с момента их получения как указано выше.</w:t>
      </w:r>
    </w:p>
    <w:p w14:paraId="67CCC89A" w14:textId="77777777" w:rsidR="00453A23" w:rsidRDefault="00B4399A" w:rsidP="00453A23">
      <w:pPr>
        <w:ind w:left="360"/>
        <w:jc w:val="both"/>
        <w:rPr>
          <w:sz w:val="22"/>
          <w:lang w:val="ru-RU"/>
        </w:rPr>
      </w:pPr>
      <w:r w:rsidRPr="00B4399A">
        <w:rPr>
          <w:sz w:val="22"/>
          <w:lang w:val="ru-RU"/>
        </w:rPr>
        <w:t xml:space="preserve">При наличии обоснованных сомнений в полноте и (или) достоверности сведений, указанных в заявлении о передаче Выплаты и прилагаемых к нему документах, </w:t>
      </w:r>
      <w:r>
        <w:rPr>
          <w:sz w:val="22"/>
          <w:lang w:val="ru-RU"/>
        </w:rPr>
        <w:t>Д</w:t>
      </w:r>
      <w:r w:rsidRPr="00B4399A">
        <w:rPr>
          <w:sz w:val="22"/>
          <w:lang w:val="ru-RU"/>
        </w:rPr>
        <w:t xml:space="preserve">епозитарий вправе отказать в Выплате соответствующему держателю </w:t>
      </w:r>
      <w:r w:rsidRPr="00453A23">
        <w:rPr>
          <w:sz w:val="22"/>
          <w:lang w:val="ru-RU"/>
        </w:rPr>
        <w:t>Ценных бумаг.</w:t>
      </w:r>
      <w:r w:rsidR="00453A23">
        <w:rPr>
          <w:sz w:val="22"/>
          <w:lang w:val="ru-RU"/>
        </w:rPr>
        <w:t xml:space="preserve"> </w:t>
      </w:r>
      <w:r w:rsidR="00453A23" w:rsidRPr="00453A23">
        <w:rPr>
          <w:sz w:val="22"/>
          <w:lang w:val="ru-RU"/>
        </w:rPr>
        <w:t>При наличии обоснованных сомнений в полноте и (или) достоверности сведений, указанных в заявлении о передаче Выплаты и прилагаемых к нему документах, депозитарий вправе отказать в Выплате соответствующему держателю Ценных бумаг.</w:t>
      </w:r>
    </w:p>
    <w:p w14:paraId="3A98FF6E" w14:textId="36D3AF4B" w:rsidR="00453A23" w:rsidRPr="00453A23" w:rsidRDefault="00453A23" w:rsidP="00453A23">
      <w:pPr>
        <w:ind w:left="360"/>
        <w:jc w:val="both"/>
        <w:rPr>
          <w:sz w:val="22"/>
          <w:lang w:val="ru-RU"/>
        </w:rPr>
      </w:pPr>
      <w:r w:rsidRPr="00453A23">
        <w:rPr>
          <w:sz w:val="22"/>
          <w:lang w:val="ru-RU"/>
        </w:rPr>
        <w:t xml:space="preserve">В случае, если общая сумма денежных средств, подлежащих Выплате держателям Ценных бумаг на основании заявлений о передаче Выплаты, превышает сумму средств, поступивших </w:t>
      </w:r>
      <w:r>
        <w:rPr>
          <w:sz w:val="22"/>
          <w:lang w:val="ru-RU"/>
        </w:rPr>
        <w:t>Д</w:t>
      </w:r>
      <w:r w:rsidRPr="00453A23">
        <w:rPr>
          <w:sz w:val="22"/>
          <w:lang w:val="ru-RU"/>
        </w:rPr>
        <w:t xml:space="preserve">епозитарию и предназначенных для осуществления Выплаты указанным лицам, Выплата в соответствии с настоящим пунктом не осуществляется. </w:t>
      </w:r>
    </w:p>
    <w:p w14:paraId="66A16329" w14:textId="77777777" w:rsidR="00B4399A" w:rsidRPr="009B7F11" w:rsidRDefault="00B4399A" w:rsidP="009B7F11">
      <w:pPr>
        <w:ind w:left="360"/>
        <w:jc w:val="both"/>
        <w:rPr>
          <w:rFonts w:eastAsia="Times New Roman" w:cs="Times New Roman"/>
          <w:sz w:val="22"/>
          <w:lang w:val="ru-RU" w:eastAsia="ru-RU"/>
        </w:rPr>
      </w:pPr>
    </w:p>
    <w:p w14:paraId="7898C34F" w14:textId="4DAEF7A2" w:rsidR="00DA6CFC" w:rsidRPr="009B7F11" w:rsidRDefault="005A4E30" w:rsidP="009B7F11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>Депозитари</w:t>
      </w:r>
      <w:r w:rsidR="00827FB2" w:rsidRPr="009B7F11">
        <w:rPr>
          <w:rFonts w:eastAsia="Times New Roman" w:cs="Times New Roman"/>
          <w:sz w:val="22"/>
          <w:lang w:val="ru-RU" w:eastAsia="ru-RU"/>
        </w:rPr>
        <w:t>й</w:t>
      </w:r>
      <w:r w:rsidRPr="009B7F11">
        <w:rPr>
          <w:rFonts w:eastAsia="Times New Roman" w:cs="Times New Roman"/>
          <w:sz w:val="22"/>
          <w:lang w:val="ru-RU" w:eastAsia="ru-RU"/>
        </w:rPr>
        <w:t xml:space="preserve"> </w:t>
      </w:r>
      <w:r w:rsidR="00DB6891" w:rsidRPr="009B7F11">
        <w:rPr>
          <w:rFonts w:eastAsia="Times New Roman" w:cs="Times New Roman"/>
          <w:sz w:val="22"/>
          <w:lang w:val="ru-RU" w:eastAsia="ru-RU"/>
        </w:rPr>
        <w:t xml:space="preserve">выплачивает </w:t>
      </w:r>
      <w:r w:rsidRPr="009B7F11">
        <w:rPr>
          <w:rFonts w:eastAsia="Times New Roman" w:cs="Times New Roman"/>
          <w:sz w:val="22"/>
          <w:lang w:val="ru-RU" w:eastAsia="ru-RU"/>
        </w:rPr>
        <w:t>Заявител</w:t>
      </w:r>
      <w:r w:rsidR="001C34A3" w:rsidRPr="009B7F11">
        <w:rPr>
          <w:rFonts w:eastAsia="Times New Roman" w:cs="Times New Roman"/>
          <w:sz w:val="22"/>
          <w:lang w:val="ru-RU" w:eastAsia="ru-RU"/>
        </w:rPr>
        <w:t>ю</w:t>
      </w:r>
      <w:r w:rsidRPr="009B7F11">
        <w:rPr>
          <w:rFonts w:eastAsia="Times New Roman" w:cs="Times New Roman"/>
          <w:sz w:val="22"/>
          <w:lang w:val="ru-RU" w:eastAsia="ru-RU"/>
        </w:rPr>
        <w:t xml:space="preserve"> причитающиеся </w:t>
      </w:r>
      <w:r w:rsidR="001C34A3" w:rsidRPr="009B7F11">
        <w:rPr>
          <w:rFonts w:eastAsia="Times New Roman" w:cs="Times New Roman"/>
          <w:sz w:val="22"/>
          <w:lang w:val="ru-RU" w:eastAsia="ru-RU"/>
        </w:rPr>
        <w:t>ему</w:t>
      </w:r>
      <w:r w:rsidRPr="009B7F11">
        <w:rPr>
          <w:rFonts w:eastAsia="Times New Roman" w:cs="Times New Roman"/>
          <w:sz w:val="22"/>
          <w:lang w:val="ru-RU" w:eastAsia="ru-RU"/>
        </w:rPr>
        <w:t xml:space="preserve"> </w:t>
      </w:r>
      <w:r w:rsidR="00DB6891" w:rsidRPr="009B7F11">
        <w:rPr>
          <w:rFonts w:eastAsia="Times New Roman" w:cs="Times New Roman"/>
          <w:sz w:val="22"/>
          <w:lang w:val="ru-RU" w:eastAsia="ru-RU"/>
        </w:rPr>
        <w:t>Выплаты</w:t>
      </w:r>
      <w:r w:rsidRPr="009B7F11">
        <w:rPr>
          <w:rFonts w:eastAsia="Times New Roman" w:cs="Times New Roman"/>
          <w:sz w:val="22"/>
          <w:lang w:val="ru-RU" w:eastAsia="ru-RU"/>
        </w:rPr>
        <w:t xml:space="preserve"> на основании </w:t>
      </w:r>
      <w:r w:rsidR="001C34A3" w:rsidRPr="009B7F11">
        <w:rPr>
          <w:rFonts w:eastAsia="Times New Roman" w:cs="Times New Roman"/>
          <w:sz w:val="22"/>
          <w:lang w:val="ru-RU" w:eastAsia="ru-RU"/>
        </w:rPr>
        <w:t xml:space="preserve">полученных </w:t>
      </w:r>
      <w:r w:rsidRPr="009B7F11">
        <w:rPr>
          <w:rFonts w:eastAsia="Times New Roman" w:cs="Times New Roman"/>
          <w:sz w:val="22"/>
          <w:lang w:val="ru-RU" w:eastAsia="ru-RU"/>
        </w:rPr>
        <w:t>Заявлени</w:t>
      </w:r>
      <w:r w:rsidR="001C34A3" w:rsidRPr="009B7F11">
        <w:rPr>
          <w:rFonts w:eastAsia="Times New Roman" w:cs="Times New Roman"/>
          <w:sz w:val="22"/>
          <w:lang w:val="ru-RU" w:eastAsia="ru-RU"/>
        </w:rPr>
        <w:t xml:space="preserve">я и прилагаемых к нему документов </w:t>
      </w:r>
      <w:r w:rsidRPr="009B7F11">
        <w:rPr>
          <w:rFonts w:eastAsia="Times New Roman" w:cs="Times New Roman"/>
          <w:sz w:val="22"/>
          <w:lang w:val="ru-RU" w:eastAsia="ru-RU"/>
        </w:rPr>
        <w:t xml:space="preserve">не позднее 5 рабочих дней со дня истечения срока для приема Заявлений. При наличии обоснованных сомнений в полноте и (или) достоверности сведений, указанных в Заявлении и прилагаемых к нему документах, </w:t>
      </w:r>
      <w:r w:rsidR="00827FB2" w:rsidRPr="009B7F11">
        <w:rPr>
          <w:rFonts w:eastAsia="Times New Roman" w:cs="Times New Roman"/>
          <w:sz w:val="22"/>
          <w:lang w:val="ru-RU" w:eastAsia="ru-RU"/>
        </w:rPr>
        <w:t>Д</w:t>
      </w:r>
      <w:r w:rsidRPr="009B7F11">
        <w:rPr>
          <w:rFonts w:eastAsia="Times New Roman" w:cs="Times New Roman"/>
          <w:sz w:val="22"/>
          <w:lang w:val="ru-RU" w:eastAsia="ru-RU"/>
        </w:rPr>
        <w:t>епозитари</w:t>
      </w:r>
      <w:r w:rsidR="00827FB2" w:rsidRPr="009B7F11">
        <w:rPr>
          <w:rFonts w:eastAsia="Times New Roman" w:cs="Times New Roman"/>
          <w:sz w:val="22"/>
          <w:lang w:val="ru-RU" w:eastAsia="ru-RU"/>
        </w:rPr>
        <w:t>й</w:t>
      </w:r>
      <w:r w:rsidRPr="009B7F11">
        <w:rPr>
          <w:rFonts w:eastAsia="Times New Roman" w:cs="Times New Roman"/>
          <w:sz w:val="22"/>
          <w:lang w:val="ru-RU" w:eastAsia="ru-RU"/>
        </w:rPr>
        <w:t xml:space="preserve"> вправе отказать </w:t>
      </w:r>
      <w:r w:rsidR="00DA6CFC" w:rsidRPr="009B7F11">
        <w:rPr>
          <w:rFonts w:eastAsia="Times New Roman" w:cs="Times New Roman"/>
          <w:sz w:val="22"/>
          <w:lang w:val="ru-RU" w:eastAsia="ru-RU"/>
        </w:rPr>
        <w:t>Д</w:t>
      </w:r>
      <w:r w:rsidRPr="009B7F11">
        <w:rPr>
          <w:rFonts w:eastAsia="Times New Roman" w:cs="Times New Roman"/>
          <w:sz w:val="22"/>
          <w:lang w:val="ru-RU" w:eastAsia="ru-RU"/>
        </w:rPr>
        <w:t>ержателю ценных бумаг</w:t>
      </w:r>
      <w:r w:rsidR="00827FB2" w:rsidRPr="009B7F11">
        <w:rPr>
          <w:rFonts w:eastAsia="Times New Roman" w:cs="Times New Roman"/>
          <w:sz w:val="22"/>
          <w:lang w:val="ru-RU" w:eastAsia="ru-RU"/>
        </w:rPr>
        <w:t xml:space="preserve"> в </w:t>
      </w:r>
      <w:r w:rsidR="00DA6CFC" w:rsidRPr="009B7F11">
        <w:rPr>
          <w:rFonts w:eastAsia="Times New Roman" w:cs="Times New Roman"/>
          <w:sz w:val="22"/>
          <w:lang w:val="ru-RU" w:eastAsia="ru-RU"/>
        </w:rPr>
        <w:t>передаче В</w:t>
      </w:r>
      <w:r w:rsidR="00827FB2" w:rsidRPr="009B7F11">
        <w:rPr>
          <w:rFonts w:eastAsia="Times New Roman" w:cs="Times New Roman"/>
          <w:sz w:val="22"/>
          <w:lang w:val="ru-RU" w:eastAsia="ru-RU"/>
        </w:rPr>
        <w:t>ыплат</w:t>
      </w:r>
      <w:r w:rsidR="00DA6CFC" w:rsidRPr="009B7F11">
        <w:rPr>
          <w:rFonts w:eastAsia="Times New Roman" w:cs="Times New Roman"/>
          <w:sz w:val="22"/>
          <w:lang w:val="ru-RU" w:eastAsia="ru-RU"/>
        </w:rPr>
        <w:t>ы</w:t>
      </w:r>
      <w:r w:rsidR="00827FB2" w:rsidRPr="009B7F11">
        <w:rPr>
          <w:rFonts w:eastAsia="Times New Roman" w:cs="Times New Roman"/>
          <w:sz w:val="22"/>
          <w:lang w:val="ru-RU" w:eastAsia="ru-RU"/>
        </w:rPr>
        <w:t>.</w:t>
      </w:r>
      <w:r w:rsidR="0050398F" w:rsidRPr="009B7F11">
        <w:rPr>
          <w:rFonts w:eastAsia="Times New Roman" w:cs="Times New Roman"/>
          <w:sz w:val="22"/>
          <w:lang w:val="ru-RU" w:eastAsia="ru-RU"/>
        </w:rPr>
        <w:t xml:space="preserve"> </w:t>
      </w:r>
      <w:r w:rsidR="00DA6CFC" w:rsidRPr="009B7F11">
        <w:rPr>
          <w:rFonts w:eastAsia="Times New Roman" w:cs="Times New Roman"/>
          <w:sz w:val="22"/>
          <w:lang w:val="ru-RU" w:eastAsia="ru-RU"/>
        </w:rPr>
        <w:t xml:space="preserve">В случае, если общая сумма денежных средств, подлежащих Выплате держателям Ценных бумаг на основании </w:t>
      </w:r>
      <w:r w:rsidR="00DB6891" w:rsidRPr="009B7F11">
        <w:rPr>
          <w:rFonts w:eastAsia="Times New Roman" w:cs="Times New Roman"/>
          <w:sz w:val="22"/>
          <w:lang w:val="ru-RU" w:eastAsia="ru-RU"/>
        </w:rPr>
        <w:t xml:space="preserve">Заявлений </w:t>
      </w:r>
      <w:r w:rsidR="00DA6CFC" w:rsidRPr="009B7F11">
        <w:rPr>
          <w:rFonts w:eastAsia="Times New Roman" w:cs="Times New Roman"/>
          <w:sz w:val="22"/>
          <w:lang w:val="ru-RU" w:eastAsia="ru-RU"/>
        </w:rPr>
        <w:t>о передаче Выплаты, превышает сумму средств, поступивших Депозитарию и предназначенных для осуществления Выплаты указанным лицам, Выплата в соответствии с настоящим пунктом не осуществляется.</w:t>
      </w:r>
    </w:p>
    <w:p w14:paraId="60D3D0A9" w14:textId="77777777" w:rsidR="00DA6CFC" w:rsidRPr="009B7F11" w:rsidRDefault="00DA6CFC" w:rsidP="00DA6CFC">
      <w:pPr>
        <w:pStyle w:val="ListParagraph"/>
        <w:rPr>
          <w:rFonts w:eastAsia="Times New Roman" w:cs="Times New Roman"/>
          <w:sz w:val="22"/>
          <w:lang w:val="ru-RU" w:eastAsia="ru-RU"/>
        </w:rPr>
      </w:pPr>
    </w:p>
    <w:p w14:paraId="65455A14" w14:textId="7B04EF88" w:rsidR="0050398F" w:rsidRPr="009B7F11" w:rsidRDefault="0050398F" w:rsidP="0050398F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В случае если Заявитель является юридическим лицом, то </w:t>
      </w:r>
      <w:r w:rsidRPr="009B7F11">
        <w:rPr>
          <w:sz w:val="22"/>
          <w:lang w:val="ru-RU"/>
        </w:rPr>
        <w:t xml:space="preserve">для получения списка необходимых документов </w:t>
      </w:r>
      <w:r w:rsidRPr="009B7F11">
        <w:rPr>
          <w:rFonts w:eastAsia="Times New Roman" w:cs="Times New Roman"/>
          <w:sz w:val="22"/>
          <w:lang w:val="ru-RU" w:eastAsia="ru-RU"/>
        </w:rPr>
        <w:t xml:space="preserve">Заявителю необходимо направить запрос в Депозитарий </w:t>
      </w:r>
      <w:r w:rsidRPr="009B7F11">
        <w:rPr>
          <w:sz w:val="22"/>
          <w:lang w:val="ru-RU"/>
        </w:rPr>
        <w:t xml:space="preserve">по адресу: </w:t>
      </w:r>
      <w:hyperlink r:id="rId15" w:history="1">
        <w:r w:rsidR="00210DB4" w:rsidRPr="009B7F11">
          <w:rPr>
            <w:rStyle w:val="Hyperlink"/>
            <w:sz w:val="22"/>
          </w:rPr>
          <w:t>moscow</w:t>
        </w:r>
        <w:r w:rsidR="00210DB4" w:rsidRPr="009B7F11">
          <w:rPr>
            <w:rStyle w:val="Hyperlink"/>
            <w:sz w:val="22"/>
            <w:lang w:val="ru-RU"/>
          </w:rPr>
          <w:t>.</w:t>
        </w:r>
        <w:r w:rsidR="00210DB4" w:rsidRPr="009B7F11">
          <w:rPr>
            <w:rStyle w:val="Hyperlink"/>
            <w:sz w:val="22"/>
          </w:rPr>
          <w:t>reception</w:t>
        </w:r>
        <w:r w:rsidR="00210DB4" w:rsidRPr="009B7F11">
          <w:rPr>
            <w:rStyle w:val="Hyperlink"/>
            <w:sz w:val="22"/>
            <w:lang w:val="ru-RU"/>
          </w:rPr>
          <w:t>@</w:t>
        </w:r>
        <w:r w:rsidR="00210DB4" w:rsidRPr="009B7F11">
          <w:rPr>
            <w:rStyle w:val="Hyperlink"/>
            <w:sz w:val="22"/>
          </w:rPr>
          <w:t>credit</w:t>
        </w:r>
        <w:r w:rsidR="00210DB4" w:rsidRPr="009B7F11">
          <w:rPr>
            <w:rStyle w:val="Hyperlink"/>
            <w:sz w:val="22"/>
            <w:lang w:val="ru-RU"/>
          </w:rPr>
          <w:t>-</w:t>
        </w:r>
        <w:r w:rsidR="00210DB4" w:rsidRPr="009B7F11">
          <w:rPr>
            <w:rStyle w:val="Hyperlink"/>
            <w:sz w:val="22"/>
          </w:rPr>
          <w:t>suisse</w:t>
        </w:r>
        <w:r w:rsidR="00210DB4" w:rsidRPr="009B7F11">
          <w:rPr>
            <w:rStyle w:val="Hyperlink"/>
            <w:sz w:val="22"/>
            <w:lang w:val="ru-RU"/>
          </w:rPr>
          <w:t>.</w:t>
        </w:r>
        <w:r w:rsidR="00210DB4" w:rsidRPr="009B7F11">
          <w:rPr>
            <w:rStyle w:val="Hyperlink"/>
            <w:sz w:val="22"/>
          </w:rPr>
          <w:t>com</w:t>
        </w:r>
      </w:hyperlink>
      <w:r w:rsidRPr="009B7F11">
        <w:rPr>
          <w:rFonts w:eastAsia="Times New Roman" w:cs="Times New Roman"/>
          <w:sz w:val="22"/>
          <w:lang w:val="ru-RU" w:eastAsia="ru-RU"/>
        </w:rPr>
        <w:t>.</w:t>
      </w:r>
    </w:p>
    <w:p w14:paraId="0766210E" w14:textId="77777777" w:rsidR="00210DB4" w:rsidRPr="009B7F11" w:rsidRDefault="00210DB4" w:rsidP="00210DB4">
      <w:pPr>
        <w:pStyle w:val="ListParagraph"/>
        <w:rPr>
          <w:rFonts w:eastAsia="Times New Roman" w:cs="Times New Roman"/>
          <w:sz w:val="22"/>
          <w:lang w:val="ru-RU" w:eastAsia="ru-RU"/>
        </w:rPr>
      </w:pPr>
    </w:p>
    <w:p w14:paraId="08742C09" w14:textId="139BA5B3" w:rsidR="0015642B" w:rsidRPr="009B7F11" w:rsidRDefault="0015642B" w:rsidP="003530CB">
      <w:pPr>
        <w:pStyle w:val="ListParagraph"/>
        <w:numPr>
          <w:ilvl w:val="0"/>
          <w:numId w:val="11"/>
        </w:numPr>
        <w:jc w:val="both"/>
        <w:rPr>
          <w:sz w:val="22"/>
          <w:lang w:val="ru-RU"/>
        </w:rPr>
      </w:pPr>
      <w:r w:rsidRPr="009B7F11">
        <w:rPr>
          <w:sz w:val="22"/>
          <w:lang w:val="ru-RU"/>
        </w:rPr>
        <w:t xml:space="preserve">Депозитарий передает держателям Ценных бумаг, исполнение обязательств перед которыми в соответствии с законодательством Российской Федерации должно осуществляться с использованием банковских счетов типа "С", Выплату в соответствии с пунктами 4 и 5 </w:t>
      </w:r>
      <w:r w:rsidR="00C675C5" w:rsidRPr="009B7F11">
        <w:rPr>
          <w:sz w:val="22"/>
          <w:lang w:val="ru-RU"/>
        </w:rPr>
        <w:t>Порядка</w:t>
      </w:r>
      <w:r w:rsidRPr="009B7F11">
        <w:rPr>
          <w:sz w:val="22"/>
          <w:lang w:val="ru-RU"/>
        </w:rPr>
        <w:t xml:space="preserve"> на банковский счет типа "С", а в случае исполнения обязанным по ценным бумагам лицом обязательств на основании разрешения, предусмотренного пунктом 11 Указа N 95 - на банковский счет держателя Ценных бумаг.</w:t>
      </w:r>
    </w:p>
    <w:p w14:paraId="3E333F4F" w14:textId="77777777" w:rsidR="00C675C5" w:rsidRPr="009B7F11" w:rsidRDefault="00C675C5" w:rsidP="009B7F11">
      <w:pPr>
        <w:pStyle w:val="ListParagraph"/>
        <w:rPr>
          <w:sz w:val="22"/>
          <w:lang w:val="ru-RU"/>
        </w:rPr>
      </w:pPr>
    </w:p>
    <w:p w14:paraId="6BCA0DB0" w14:textId="0346540A" w:rsidR="0015642B" w:rsidRPr="009B7F11" w:rsidRDefault="00C675C5" w:rsidP="003530CB">
      <w:pPr>
        <w:pStyle w:val="ListParagraph"/>
        <w:numPr>
          <w:ilvl w:val="0"/>
          <w:numId w:val="11"/>
        </w:numPr>
        <w:jc w:val="both"/>
        <w:rPr>
          <w:sz w:val="22"/>
          <w:lang w:val="ru-RU"/>
        </w:rPr>
      </w:pPr>
      <w:r w:rsidRPr="009B7F11">
        <w:rPr>
          <w:sz w:val="22"/>
          <w:lang w:val="ru-RU"/>
        </w:rPr>
        <w:t>В случае если в соответствии с пунктом 5 Порядка Депозитарий должен передать Выплату на банковский счет типа "C", а у держателя Ценных бумаг, которому причитается такая Выплата, отсутствует банковский счет типа "C" Депозитарий в целях передачи Выплаты открывает такому лицу банковский счет типа "C" и зачисляет на него причитающуюся Выплату.</w:t>
      </w:r>
    </w:p>
    <w:p w14:paraId="3C12BC21" w14:textId="77777777" w:rsidR="00C675C5" w:rsidRPr="009B7F11" w:rsidRDefault="00C675C5" w:rsidP="009B7F11">
      <w:pPr>
        <w:jc w:val="both"/>
        <w:rPr>
          <w:sz w:val="22"/>
          <w:lang w:val="ru-RU"/>
        </w:rPr>
      </w:pPr>
    </w:p>
    <w:p w14:paraId="3B6E341A" w14:textId="1DD8013A" w:rsidR="00210DB4" w:rsidRPr="009B7F11" w:rsidRDefault="00210DB4" w:rsidP="009B7F11">
      <w:pPr>
        <w:pStyle w:val="ListParagraph"/>
        <w:numPr>
          <w:ilvl w:val="0"/>
          <w:numId w:val="11"/>
        </w:numPr>
        <w:jc w:val="both"/>
        <w:rPr>
          <w:sz w:val="22"/>
          <w:lang w:val="ru-RU"/>
        </w:rPr>
      </w:pPr>
      <w:r w:rsidRPr="009B7F11">
        <w:rPr>
          <w:sz w:val="22"/>
          <w:lang w:val="ru-RU"/>
        </w:rPr>
        <w:t xml:space="preserve">Депозитарий передает в течение 10 рабочих дней после осуществления Выплат в соответствии с </w:t>
      </w:r>
      <w:hyperlink r:id="rId16" w:history="1">
        <w:r w:rsidRPr="009B7F11">
          <w:rPr>
            <w:sz w:val="22"/>
            <w:lang w:val="ru-RU"/>
          </w:rPr>
          <w:t>пунктами 4</w:t>
        </w:r>
      </w:hyperlink>
      <w:r w:rsidRPr="009B7F11">
        <w:rPr>
          <w:sz w:val="22"/>
          <w:lang w:val="ru-RU"/>
        </w:rPr>
        <w:t xml:space="preserve"> и </w:t>
      </w:r>
      <w:hyperlink r:id="rId17" w:history="1">
        <w:r w:rsidR="00177973" w:rsidRPr="009B7F11">
          <w:rPr>
            <w:sz w:val="22"/>
            <w:lang w:val="ru-RU"/>
          </w:rPr>
          <w:t>5</w:t>
        </w:r>
      </w:hyperlink>
      <w:r w:rsidRPr="009B7F11">
        <w:rPr>
          <w:sz w:val="22"/>
          <w:lang w:val="ru-RU"/>
        </w:rPr>
        <w:t xml:space="preserve"> </w:t>
      </w:r>
      <w:r w:rsidR="00177973" w:rsidRPr="009B7F11">
        <w:rPr>
          <w:sz w:val="22"/>
          <w:lang w:val="ru-RU"/>
        </w:rPr>
        <w:t>Порядка</w:t>
      </w:r>
      <w:r w:rsidRPr="009B7F11">
        <w:rPr>
          <w:sz w:val="22"/>
          <w:lang w:val="ru-RU"/>
        </w:rPr>
        <w:t xml:space="preserve"> иностранному номинальному держателю, на счете которого учитываются Ценные бумаги, информацию о лицах, которым были переданы Выплаты в соответствии с </w:t>
      </w:r>
      <w:hyperlink r:id="rId18" w:history="1">
        <w:r w:rsidRPr="009B7F11">
          <w:rPr>
            <w:sz w:val="22"/>
            <w:lang w:val="ru-RU"/>
          </w:rPr>
          <w:t>пунктами 4</w:t>
        </w:r>
      </w:hyperlink>
      <w:r w:rsidRPr="009B7F11">
        <w:rPr>
          <w:sz w:val="22"/>
          <w:lang w:val="ru-RU"/>
        </w:rPr>
        <w:t xml:space="preserve"> и </w:t>
      </w:r>
      <w:hyperlink r:id="rId19" w:history="1">
        <w:r w:rsidR="00C675C5" w:rsidRPr="009B7F11">
          <w:rPr>
            <w:sz w:val="22"/>
            <w:lang w:val="ru-RU"/>
          </w:rPr>
          <w:t>5</w:t>
        </w:r>
      </w:hyperlink>
      <w:r w:rsidRPr="009B7F11">
        <w:rPr>
          <w:sz w:val="22"/>
          <w:lang w:val="ru-RU"/>
        </w:rPr>
        <w:t xml:space="preserve"> </w:t>
      </w:r>
      <w:r w:rsidR="00C675C5" w:rsidRPr="009B7F11">
        <w:rPr>
          <w:sz w:val="22"/>
          <w:lang w:val="ru-RU"/>
        </w:rPr>
        <w:t>Порядка</w:t>
      </w:r>
      <w:r w:rsidRPr="009B7F11">
        <w:rPr>
          <w:sz w:val="22"/>
          <w:lang w:val="ru-RU"/>
        </w:rPr>
        <w:t>, а также предоставленную держателями Ценных бумаг информацию об осуществляющем учет прав на его Ценные бумаги иностранном депозитарии (в том числе иностранном номинальном держателе) и о вышестоящих иностранных номинальных держателях (иностранных депозитариях).</w:t>
      </w:r>
    </w:p>
    <w:p w14:paraId="0B0B5621" w14:textId="77777777" w:rsidR="00726E77" w:rsidRPr="009B7F11" w:rsidRDefault="00726E77" w:rsidP="00583488">
      <w:pPr>
        <w:pStyle w:val="ListParagraph"/>
        <w:jc w:val="both"/>
        <w:rPr>
          <w:rFonts w:eastAsia="Times New Roman" w:cs="Times New Roman"/>
          <w:sz w:val="22"/>
          <w:lang w:val="ru-RU" w:eastAsia="ru-RU"/>
        </w:rPr>
      </w:pPr>
    </w:p>
    <w:p w14:paraId="10B24D9A" w14:textId="764F827B" w:rsidR="00210DB4" w:rsidRPr="009B7F11" w:rsidRDefault="005A4E30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В случае если после осуществления </w:t>
      </w:r>
      <w:r w:rsidR="003530CB" w:rsidRPr="009B7F11">
        <w:rPr>
          <w:rFonts w:eastAsia="Times New Roman" w:cs="Times New Roman"/>
          <w:sz w:val="22"/>
          <w:lang w:val="ru-RU" w:eastAsia="ru-RU"/>
        </w:rPr>
        <w:t xml:space="preserve">Выплаты </w:t>
      </w:r>
      <w:r w:rsidRPr="009B7F11">
        <w:rPr>
          <w:rFonts w:eastAsia="Times New Roman" w:cs="Times New Roman"/>
          <w:sz w:val="22"/>
          <w:lang w:val="ru-RU" w:eastAsia="ru-RU"/>
        </w:rPr>
        <w:t xml:space="preserve">в соответствии с </w:t>
      </w:r>
      <w:r w:rsidR="003530CB" w:rsidRPr="009B7F11">
        <w:rPr>
          <w:rFonts w:eastAsia="Times New Roman" w:cs="Times New Roman"/>
          <w:sz w:val="22"/>
          <w:lang w:val="ru-RU" w:eastAsia="ru-RU"/>
        </w:rPr>
        <w:t xml:space="preserve">настоящим Порядком </w:t>
      </w:r>
      <w:r w:rsidR="00210DB4" w:rsidRPr="009B7F11">
        <w:rPr>
          <w:rFonts w:eastAsia="Times New Roman" w:cs="Times New Roman"/>
          <w:sz w:val="22"/>
          <w:lang w:val="ru-RU" w:eastAsia="ru-RU"/>
        </w:rPr>
        <w:t>Депозитарием</w:t>
      </w:r>
      <w:r w:rsidRPr="009B7F11">
        <w:rPr>
          <w:rFonts w:eastAsia="Times New Roman" w:cs="Times New Roman"/>
          <w:sz w:val="22"/>
          <w:lang w:val="ru-RU" w:eastAsia="ru-RU"/>
        </w:rPr>
        <w:t xml:space="preserve"> перечислены не все денежные средства, предназначенные для </w:t>
      </w:r>
      <w:r w:rsidR="003530CB" w:rsidRPr="009B7F11">
        <w:rPr>
          <w:rFonts w:eastAsia="Times New Roman" w:cs="Times New Roman"/>
          <w:sz w:val="22"/>
          <w:lang w:val="ru-RU" w:eastAsia="ru-RU"/>
        </w:rPr>
        <w:t>Выплаты держателям Ценных бумаг</w:t>
      </w:r>
      <w:r w:rsidRPr="009B7F11">
        <w:rPr>
          <w:rFonts w:eastAsia="Times New Roman" w:cs="Times New Roman"/>
          <w:sz w:val="22"/>
          <w:lang w:val="ru-RU" w:eastAsia="ru-RU"/>
        </w:rPr>
        <w:t xml:space="preserve">, оставшиеся денежные средства в течение 10 </w:t>
      </w:r>
      <w:r w:rsidR="003530CB" w:rsidRPr="009B7F11">
        <w:rPr>
          <w:rFonts w:eastAsia="Times New Roman" w:cs="Times New Roman"/>
          <w:sz w:val="22"/>
          <w:lang w:val="ru-RU" w:eastAsia="ru-RU"/>
        </w:rPr>
        <w:t xml:space="preserve">рабочих </w:t>
      </w:r>
      <w:r w:rsidRPr="009B7F11">
        <w:rPr>
          <w:rFonts w:eastAsia="Times New Roman" w:cs="Times New Roman"/>
          <w:sz w:val="22"/>
          <w:lang w:val="ru-RU" w:eastAsia="ru-RU"/>
        </w:rPr>
        <w:t xml:space="preserve">дней после истечения одного месяца с даты окончания срока </w:t>
      </w:r>
      <w:r w:rsidR="00210DB4" w:rsidRPr="009B7F11">
        <w:rPr>
          <w:rFonts w:eastAsia="Times New Roman" w:cs="Times New Roman"/>
          <w:sz w:val="22"/>
          <w:lang w:val="ru-RU" w:eastAsia="ru-RU"/>
        </w:rPr>
        <w:t>передачи Выплаты перечисляются:</w:t>
      </w:r>
    </w:p>
    <w:p w14:paraId="0A305482" w14:textId="77777777" w:rsidR="00210DB4" w:rsidRPr="009B7F11" w:rsidRDefault="00210DB4" w:rsidP="009B7F11">
      <w:pPr>
        <w:numPr>
          <w:ilvl w:val="0"/>
          <w:numId w:val="14"/>
        </w:numPr>
        <w:tabs>
          <w:tab w:val="clear" w:pos="720"/>
        </w:tabs>
        <w:ind w:left="426" w:firstLine="0"/>
        <w:jc w:val="both"/>
        <w:textAlignment w:val="baseline"/>
        <w:rPr>
          <w:rFonts w:eastAsia="Times New Roman" w:cs="Arial"/>
          <w:color w:val="000C1A"/>
          <w:spacing w:val="5"/>
          <w:sz w:val="22"/>
          <w:lang w:val="ru-RU" w:eastAsia="ru-RU"/>
        </w:rPr>
      </w:pPr>
      <w:r w:rsidRPr="009B7F11">
        <w:rPr>
          <w:rFonts w:eastAsia="Times New Roman" w:cs="Times New Roman"/>
          <w:sz w:val="22"/>
          <w:lang w:val="ru-RU" w:eastAsia="ru-RU"/>
        </w:rPr>
        <w:t xml:space="preserve">по </w:t>
      </w: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облигациям и еврооблигациям - на банковские счета типа "С" иностранных номинальных держателей, на счетах депо которых учитываются права на указанные ценные бумаги (за </w:t>
      </w: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lastRenderedPageBreak/>
        <w:t xml:space="preserve">исключением облигаций иностранных эмитентов, не являющихся иностранными лицами, указанными в </w:t>
      </w:r>
      <w:hyperlink r:id="rId20" w:history="1">
        <w:r w:rsidRPr="009B7F11">
          <w:rPr>
            <w:rFonts w:eastAsia="Times New Roman" w:cs="Arial"/>
            <w:color w:val="000C1A"/>
            <w:spacing w:val="5"/>
            <w:sz w:val="22"/>
            <w:lang w:val="ru-RU" w:eastAsia="ru-RU"/>
          </w:rPr>
          <w:t>пункте 1</w:t>
        </w:r>
      </w:hyperlink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 Указа N 95);</w:t>
      </w:r>
    </w:p>
    <w:p w14:paraId="7B26B4B9" w14:textId="77777777" w:rsidR="00210DB4" w:rsidRPr="009B7F11" w:rsidRDefault="00210DB4" w:rsidP="009B7F11">
      <w:pPr>
        <w:numPr>
          <w:ilvl w:val="0"/>
          <w:numId w:val="14"/>
        </w:numPr>
        <w:tabs>
          <w:tab w:val="clear" w:pos="720"/>
        </w:tabs>
        <w:ind w:left="426" w:firstLine="0"/>
        <w:jc w:val="both"/>
        <w:textAlignment w:val="baseline"/>
        <w:rPr>
          <w:rFonts w:eastAsia="Times New Roman" w:cs="Arial"/>
          <w:color w:val="000C1A"/>
          <w:spacing w:val="5"/>
          <w:sz w:val="22"/>
          <w:lang w:val="ru-RU" w:eastAsia="ru-RU"/>
        </w:rPr>
      </w:pP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по облигациям и еврооблигациям на банковские счета иностранных номинальных держателей, на счетах депо которых учитываются права на указанные ценные бумаги (за исключением облигаций иностранных эмитентов, не являющихся иностранными лицами, указанными в </w:t>
      </w:r>
      <w:hyperlink r:id="rId21" w:history="1">
        <w:r w:rsidRPr="009B7F11">
          <w:rPr>
            <w:rFonts w:eastAsia="Times New Roman" w:cs="Arial"/>
            <w:color w:val="000C1A"/>
            <w:spacing w:val="5"/>
            <w:sz w:val="22"/>
            <w:lang w:val="ru-RU" w:eastAsia="ru-RU"/>
          </w:rPr>
          <w:t>пункте 1</w:t>
        </w:r>
      </w:hyperlink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 Указа N 95), если Выплата передается в рамках исполнения обязательств на основании разрешения, предусмотренного </w:t>
      </w:r>
      <w:hyperlink r:id="rId22" w:history="1">
        <w:r w:rsidRPr="009B7F11">
          <w:rPr>
            <w:rFonts w:eastAsia="Times New Roman" w:cs="Arial"/>
            <w:color w:val="000C1A"/>
            <w:spacing w:val="5"/>
            <w:sz w:val="22"/>
            <w:lang w:val="ru-RU" w:eastAsia="ru-RU"/>
          </w:rPr>
          <w:t>пунктом 11</w:t>
        </w:r>
      </w:hyperlink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 Указа N 95;</w:t>
      </w:r>
    </w:p>
    <w:p w14:paraId="16F01193" w14:textId="77777777" w:rsidR="00210DB4" w:rsidRPr="009B7F11" w:rsidRDefault="00210DB4" w:rsidP="009B7F11">
      <w:pPr>
        <w:numPr>
          <w:ilvl w:val="0"/>
          <w:numId w:val="14"/>
        </w:numPr>
        <w:tabs>
          <w:tab w:val="clear" w:pos="720"/>
        </w:tabs>
        <w:ind w:left="426" w:firstLine="0"/>
        <w:jc w:val="both"/>
        <w:textAlignment w:val="baseline"/>
        <w:rPr>
          <w:rFonts w:eastAsia="Times New Roman" w:cs="Arial"/>
          <w:color w:val="000C1A"/>
          <w:spacing w:val="5"/>
          <w:sz w:val="22"/>
          <w:lang w:val="ru-RU" w:eastAsia="ru-RU"/>
        </w:rPr>
      </w:pP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по облигациям иностранных эмитентов, не являющихся лицами, указанными в </w:t>
      </w:r>
      <w:hyperlink r:id="rId23" w:history="1">
        <w:r w:rsidRPr="009B7F11">
          <w:rPr>
            <w:rFonts w:eastAsia="Times New Roman" w:cs="Arial"/>
            <w:color w:val="000C1A"/>
            <w:spacing w:val="5"/>
            <w:sz w:val="22"/>
            <w:lang w:val="ru-RU" w:eastAsia="ru-RU"/>
          </w:rPr>
          <w:t>пункте 1</w:t>
        </w:r>
      </w:hyperlink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 Указа N 95 на банковские счета иностранных номинальных держателей, на счетах депо которых учитываются права на такие ценные бумаги иностранных эмитентов, не являющихся лицами, указанными в </w:t>
      </w:r>
      <w:hyperlink r:id="rId24" w:history="1">
        <w:r w:rsidRPr="009B7F11">
          <w:rPr>
            <w:rFonts w:eastAsia="Times New Roman" w:cs="Arial"/>
            <w:color w:val="000C1A"/>
            <w:spacing w:val="5"/>
            <w:sz w:val="22"/>
            <w:lang w:val="ru-RU" w:eastAsia="ru-RU"/>
          </w:rPr>
          <w:t>пункте 1</w:t>
        </w:r>
      </w:hyperlink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 Указа N 95;</w:t>
      </w:r>
    </w:p>
    <w:p w14:paraId="12DEEB54" w14:textId="3699AF86" w:rsidR="00210DB4" w:rsidRPr="009B7F11" w:rsidRDefault="00210DB4" w:rsidP="009B7F11">
      <w:pPr>
        <w:numPr>
          <w:ilvl w:val="0"/>
          <w:numId w:val="14"/>
        </w:numPr>
        <w:tabs>
          <w:tab w:val="clear" w:pos="720"/>
        </w:tabs>
        <w:ind w:left="426" w:firstLine="0"/>
        <w:jc w:val="both"/>
        <w:textAlignment w:val="baseline"/>
        <w:rPr>
          <w:rFonts w:eastAsia="Times New Roman" w:cs="Times New Roman"/>
          <w:sz w:val="22"/>
          <w:lang w:val="ru-RU" w:eastAsia="ru-RU"/>
        </w:rPr>
      </w:pPr>
      <w:r w:rsidRPr="009B7F11">
        <w:rPr>
          <w:rFonts w:eastAsia="Times New Roman" w:cs="Arial"/>
          <w:color w:val="000C1A"/>
          <w:spacing w:val="5"/>
          <w:sz w:val="22"/>
          <w:lang w:val="ru-RU" w:eastAsia="ru-RU"/>
        </w:rPr>
        <w:t xml:space="preserve">эмитенту акций с одновременным направлением эмитенту акций сведений, предусмотренных </w:t>
      </w:r>
      <w:hyperlink r:id="rId25" w:history="1">
        <w:r w:rsidRPr="009B7F11">
          <w:rPr>
            <w:rFonts w:eastAsia="Times New Roman" w:cs="Arial"/>
            <w:color w:val="000C1A"/>
            <w:spacing w:val="5"/>
            <w:sz w:val="22"/>
            <w:lang w:val="ru-RU" w:eastAsia="ru-RU"/>
          </w:rPr>
          <w:t>пунктом 3</w:t>
        </w:r>
      </w:hyperlink>
      <w:r w:rsidRPr="009B7F11">
        <w:rPr>
          <w:rFonts w:eastAsia="Times New Roman" w:cs="Times New Roman"/>
          <w:sz w:val="22"/>
          <w:lang w:val="ru-RU" w:eastAsia="ru-RU"/>
        </w:rPr>
        <w:t xml:space="preserve"> </w:t>
      </w:r>
      <w:r w:rsidR="003530CB" w:rsidRPr="009B7F11">
        <w:rPr>
          <w:rFonts w:eastAsia="Times New Roman" w:cs="Times New Roman"/>
          <w:sz w:val="22"/>
          <w:lang w:val="ru-RU" w:eastAsia="ru-RU"/>
        </w:rPr>
        <w:t>Порядка</w:t>
      </w:r>
      <w:r w:rsidRPr="009B7F11">
        <w:rPr>
          <w:rFonts w:eastAsia="Times New Roman" w:cs="Times New Roman"/>
          <w:sz w:val="22"/>
          <w:lang w:val="ru-RU" w:eastAsia="ru-RU"/>
        </w:rPr>
        <w:t>, в отношении лиц, которым были перечислены дивиденды.</w:t>
      </w:r>
    </w:p>
    <w:p w14:paraId="49A9F9C5" w14:textId="692127FD" w:rsidR="006365B7" w:rsidRDefault="006365B7" w:rsidP="005A4E30">
      <w:pPr>
        <w:rPr>
          <w:lang w:val="ru-RU"/>
        </w:rPr>
      </w:pPr>
    </w:p>
    <w:sectPr w:rsidR="006365B7" w:rsidSect="000C00F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888" w:right="850" w:bottom="993" w:left="1134" w:header="568" w:footer="44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5A04" w14:textId="77777777" w:rsidR="005A4E30" w:rsidRDefault="005A4E30" w:rsidP="00D91F59">
      <w:r>
        <w:separator/>
      </w:r>
    </w:p>
  </w:endnote>
  <w:endnote w:type="continuationSeparator" w:id="0">
    <w:p w14:paraId="6A91A86F" w14:textId="77777777" w:rsidR="005A4E30" w:rsidRDefault="005A4E30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redit Suisse Type Light">
    <w:panose1 w:val="020B0303040503020204"/>
    <w:charset w:val="CC"/>
    <w:family w:val="swiss"/>
    <w:pitch w:val="variable"/>
    <w:sig w:usb0="800002AF" w:usb1="5000204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redit Suisse Headline">
    <w:panose1 w:val="020B0504030101020102"/>
    <w:charset w:val="CC"/>
    <w:family w:val="swiss"/>
    <w:pitch w:val="variable"/>
    <w:sig w:usb0="A00002FF" w:usb1="4000F0FF" w:usb2="00000008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0EA2" w14:textId="77777777" w:rsidR="000C00F2" w:rsidRDefault="000C0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FD27" w14:textId="77777777" w:rsidR="00A7457D" w:rsidRPr="00A7457D" w:rsidRDefault="00A7457D" w:rsidP="00403D1C">
    <w:pPr>
      <w:rPr>
        <w:color w:val="001B34" w:themeColor="text2" w:themeShade="80"/>
        <w:szCs w:val="20"/>
      </w:rPr>
    </w:pPr>
    <w:r w:rsidRPr="00A7457D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6D554" wp14:editId="08F2A78C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269E5" w14:textId="77777777" w:rsidR="00A7457D" w:rsidRPr="00A7457D" w:rsidRDefault="00A7457D" w:rsidP="00A7457D">
                          <w:pPr>
                            <w:jc w:val="right"/>
                            <w:rPr>
                              <w:color w:val="001B34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001B34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AC6D554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" fillcolor="white [3201]" stroked="f" strokeweight=".5pt">
              <v:textbox style="mso-fit-shape-to-text:t" inset="0,,0">
                <w:txbxContent>
                  <w:p w14:paraId="601269E5" w14:textId="77777777" w:rsidR="00A7457D" w:rsidRPr="00A7457D" w:rsidRDefault="00A7457D" w:rsidP="00A7457D">
                    <w:pPr>
                      <w:jc w:val="right"/>
                      <w:rPr>
                        <w:color w:val="001B34" w:themeColor="text2" w:themeShade="80"/>
                        <w:szCs w:val="20"/>
                      </w:rPr>
                    </w:pPr>
                    <w:r w:rsidRPr="00A7457D">
                      <w:rPr>
                        <w:color w:val="001B34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01B34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01B34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001B34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001B34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99D0" w14:textId="77777777" w:rsidR="000C00F2" w:rsidRDefault="000C0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C5DF" w14:textId="77777777" w:rsidR="005A4E30" w:rsidRDefault="005A4E30" w:rsidP="00D91F59">
      <w:r>
        <w:separator/>
      </w:r>
    </w:p>
  </w:footnote>
  <w:footnote w:type="continuationSeparator" w:id="0">
    <w:p w14:paraId="0D9EDBBF" w14:textId="77777777" w:rsidR="005A4E30" w:rsidRDefault="005A4E30" w:rsidP="00D9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CADB" w14:textId="77777777" w:rsidR="000C00F2" w:rsidRDefault="000C0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10C6" w14:textId="77777777" w:rsidR="000C00F2" w:rsidRDefault="000C0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702C" w14:textId="77777777" w:rsidR="000C00F2" w:rsidRDefault="000C0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3E4"/>
    <w:multiLevelType w:val="multilevel"/>
    <w:tmpl w:val="FCF615A8"/>
    <w:numStyleLink w:val="ListCS"/>
  </w:abstractNum>
  <w:abstractNum w:abstractNumId="3" w15:restartNumberingAfterBreak="0">
    <w:nsid w:val="22D03EA2"/>
    <w:multiLevelType w:val="multilevel"/>
    <w:tmpl w:val="FCF615A8"/>
    <w:numStyleLink w:val="ListCS"/>
  </w:abstractNum>
  <w:abstractNum w:abstractNumId="4" w15:restartNumberingAfterBreak="0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 w15:restartNumberingAfterBreak="0">
    <w:nsid w:val="265D0607"/>
    <w:multiLevelType w:val="multilevel"/>
    <w:tmpl w:val="F14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0A2"/>
    <w:multiLevelType w:val="multilevel"/>
    <w:tmpl w:val="FCF615A8"/>
    <w:numStyleLink w:val="ListCS"/>
  </w:abstractNum>
  <w:abstractNum w:abstractNumId="8" w15:restartNumberingAfterBreak="0">
    <w:nsid w:val="34E86371"/>
    <w:multiLevelType w:val="multilevel"/>
    <w:tmpl w:val="FCF615A8"/>
    <w:numStyleLink w:val="ListCS"/>
  </w:abstractNum>
  <w:abstractNum w:abstractNumId="9" w15:restartNumberingAfterBreak="0">
    <w:nsid w:val="3531541D"/>
    <w:multiLevelType w:val="multilevel"/>
    <w:tmpl w:val="FCF615A8"/>
    <w:numStyleLink w:val="ListCS"/>
  </w:abstractNum>
  <w:abstractNum w:abstractNumId="10" w15:restartNumberingAfterBreak="0">
    <w:nsid w:val="3A8D03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1" w15:restartNumberingAfterBreak="0">
    <w:nsid w:val="48971C4E"/>
    <w:multiLevelType w:val="multilevel"/>
    <w:tmpl w:val="2AA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F3CA6"/>
    <w:multiLevelType w:val="multilevel"/>
    <w:tmpl w:val="BAC6E50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Franklin Gothic Heavy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794673">
    <w:abstractNumId w:val="1"/>
  </w:num>
  <w:num w:numId="2" w16cid:durableId="623846612">
    <w:abstractNumId w:val="0"/>
  </w:num>
  <w:num w:numId="3" w16cid:durableId="1245795069">
    <w:abstractNumId w:val="4"/>
  </w:num>
  <w:num w:numId="4" w16cid:durableId="120195889">
    <w:abstractNumId w:val="12"/>
  </w:num>
  <w:num w:numId="5" w16cid:durableId="1588735168">
    <w:abstractNumId w:val="2"/>
  </w:num>
  <w:num w:numId="6" w16cid:durableId="36398366">
    <w:abstractNumId w:val="8"/>
  </w:num>
  <w:num w:numId="7" w16cid:durableId="423501737">
    <w:abstractNumId w:val="9"/>
  </w:num>
  <w:num w:numId="8" w16cid:durableId="871383579">
    <w:abstractNumId w:val="7"/>
  </w:num>
  <w:num w:numId="9" w16cid:durableId="2078278312">
    <w:abstractNumId w:val="3"/>
  </w:num>
  <w:num w:numId="10" w16cid:durableId="777485480">
    <w:abstractNumId w:val="6"/>
  </w:num>
  <w:num w:numId="11" w16cid:durableId="1688173116">
    <w:abstractNumId w:val="10"/>
  </w:num>
  <w:num w:numId="12" w16cid:durableId="476801842">
    <w:abstractNumId w:val="5"/>
  </w:num>
  <w:num w:numId="13" w16cid:durableId="930890773">
    <w:abstractNumId w:val="11"/>
  </w:num>
  <w:num w:numId="14" w16cid:durableId="16544859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30"/>
    <w:rsid w:val="0000041D"/>
    <w:rsid w:val="000144B8"/>
    <w:rsid w:val="00033348"/>
    <w:rsid w:val="0004045D"/>
    <w:rsid w:val="000419B8"/>
    <w:rsid w:val="00055C3A"/>
    <w:rsid w:val="00064279"/>
    <w:rsid w:val="00066936"/>
    <w:rsid w:val="000716DB"/>
    <w:rsid w:val="0007327B"/>
    <w:rsid w:val="00081B49"/>
    <w:rsid w:val="00084D15"/>
    <w:rsid w:val="00090DC1"/>
    <w:rsid w:val="00094E85"/>
    <w:rsid w:val="000C00F2"/>
    <w:rsid w:val="000E0B74"/>
    <w:rsid w:val="000F49D0"/>
    <w:rsid w:val="0010658C"/>
    <w:rsid w:val="001164A0"/>
    <w:rsid w:val="001340F4"/>
    <w:rsid w:val="00154990"/>
    <w:rsid w:val="0015642B"/>
    <w:rsid w:val="00161DDE"/>
    <w:rsid w:val="00177973"/>
    <w:rsid w:val="001A2A9B"/>
    <w:rsid w:val="001A7D98"/>
    <w:rsid w:val="001C34A3"/>
    <w:rsid w:val="001C50EC"/>
    <w:rsid w:val="001D27B4"/>
    <w:rsid w:val="001E010B"/>
    <w:rsid w:val="001F10A7"/>
    <w:rsid w:val="001F4833"/>
    <w:rsid w:val="00210DB4"/>
    <w:rsid w:val="00220C54"/>
    <w:rsid w:val="00224603"/>
    <w:rsid w:val="00242C30"/>
    <w:rsid w:val="00242F0B"/>
    <w:rsid w:val="00245E5E"/>
    <w:rsid w:val="0026192F"/>
    <w:rsid w:val="00266220"/>
    <w:rsid w:val="0028113F"/>
    <w:rsid w:val="002A40FF"/>
    <w:rsid w:val="002A42B8"/>
    <w:rsid w:val="002A650F"/>
    <w:rsid w:val="002B65A8"/>
    <w:rsid w:val="002E1FC0"/>
    <w:rsid w:val="0030410D"/>
    <w:rsid w:val="003271DE"/>
    <w:rsid w:val="00345889"/>
    <w:rsid w:val="003530CB"/>
    <w:rsid w:val="00370E6D"/>
    <w:rsid w:val="003810CF"/>
    <w:rsid w:val="00403D1C"/>
    <w:rsid w:val="004047B4"/>
    <w:rsid w:val="00435B7E"/>
    <w:rsid w:val="00445B2A"/>
    <w:rsid w:val="00452CE5"/>
    <w:rsid w:val="00453A23"/>
    <w:rsid w:val="004630C4"/>
    <w:rsid w:val="004951BB"/>
    <w:rsid w:val="004A44BB"/>
    <w:rsid w:val="004B1475"/>
    <w:rsid w:val="004C0E79"/>
    <w:rsid w:val="004C5807"/>
    <w:rsid w:val="004D747F"/>
    <w:rsid w:val="0050398F"/>
    <w:rsid w:val="0051309E"/>
    <w:rsid w:val="00540AC5"/>
    <w:rsid w:val="005804D7"/>
    <w:rsid w:val="00583488"/>
    <w:rsid w:val="00591B4C"/>
    <w:rsid w:val="005A4E30"/>
    <w:rsid w:val="005A7AA1"/>
    <w:rsid w:val="005B4018"/>
    <w:rsid w:val="005B6232"/>
    <w:rsid w:val="005B7325"/>
    <w:rsid w:val="005C1598"/>
    <w:rsid w:val="005C18C3"/>
    <w:rsid w:val="005D7BA3"/>
    <w:rsid w:val="005E299A"/>
    <w:rsid w:val="006045E1"/>
    <w:rsid w:val="0061315F"/>
    <w:rsid w:val="006365B7"/>
    <w:rsid w:val="0068137A"/>
    <w:rsid w:val="00697EA7"/>
    <w:rsid w:val="006A7EEB"/>
    <w:rsid w:val="006C37E4"/>
    <w:rsid w:val="006C63F9"/>
    <w:rsid w:val="00726E77"/>
    <w:rsid w:val="00746C09"/>
    <w:rsid w:val="007562C5"/>
    <w:rsid w:val="00760446"/>
    <w:rsid w:val="00770E55"/>
    <w:rsid w:val="00783CA6"/>
    <w:rsid w:val="007941AA"/>
    <w:rsid w:val="007B1486"/>
    <w:rsid w:val="007B6446"/>
    <w:rsid w:val="007D3A59"/>
    <w:rsid w:val="007D4DBF"/>
    <w:rsid w:val="00816014"/>
    <w:rsid w:val="008176A2"/>
    <w:rsid w:val="00827FB2"/>
    <w:rsid w:val="00830943"/>
    <w:rsid w:val="00844C0C"/>
    <w:rsid w:val="00845E77"/>
    <w:rsid w:val="00884A7D"/>
    <w:rsid w:val="008B65E5"/>
    <w:rsid w:val="008C0CC5"/>
    <w:rsid w:val="008D6888"/>
    <w:rsid w:val="008F35AB"/>
    <w:rsid w:val="008F54F5"/>
    <w:rsid w:val="0090023D"/>
    <w:rsid w:val="00904F39"/>
    <w:rsid w:val="009150A2"/>
    <w:rsid w:val="00925A02"/>
    <w:rsid w:val="0093350B"/>
    <w:rsid w:val="009349E6"/>
    <w:rsid w:val="0094120A"/>
    <w:rsid w:val="00964B99"/>
    <w:rsid w:val="009770D7"/>
    <w:rsid w:val="009862A2"/>
    <w:rsid w:val="009864E3"/>
    <w:rsid w:val="00991EA9"/>
    <w:rsid w:val="009B1927"/>
    <w:rsid w:val="009B5934"/>
    <w:rsid w:val="009B7F11"/>
    <w:rsid w:val="009C0BB6"/>
    <w:rsid w:val="009D47E0"/>
    <w:rsid w:val="009F4728"/>
    <w:rsid w:val="00A06BB3"/>
    <w:rsid w:val="00A171E2"/>
    <w:rsid w:val="00A260E1"/>
    <w:rsid w:val="00A31F05"/>
    <w:rsid w:val="00A342FD"/>
    <w:rsid w:val="00A605B5"/>
    <w:rsid w:val="00A624E6"/>
    <w:rsid w:val="00A667CA"/>
    <w:rsid w:val="00A7457D"/>
    <w:rsid w:val="00A80B06"/>
    <w:rsid w:val="00A82526"/>
    <w:rsid w:val="00AA24D6"/>
    <w:rsid w:val="00AA477B"/>
    <w:rsid w:val="00AB309D"/>
    <w:rsid w:val="00AB78D3"/>
    <w:rsid w:val="00AC0CA0"/>
    <w:rsid w:val="00AF647E"/>
    <w:rsid w:val="00B1772E"/>
    <w:rsid w:val="00B40B54"/>
    <w:rsid w:val="00B4399A"/>
    <w:rsid w:val="00B4749A"/>
    <w:rsid w:val="00B63387"/>
    <w:rsid w:val="00B847FD"/>
    <w:rsid w:val="00BA13DE"/>
    <w:rsid w:val="00BD430E"/>
    <w:rsid w:val="00BD5751"/>
    <w:rsid w:val="00BE0476"/>
    <w:rsid w:val="00C05641"/>
    <w:rsid w:val="00C142F2"/>
    <w:rsid w:val="00C15D9C"/>
    <w:rsid w:val="00C21DD1"/>
    <w:rsid w:val="00C60CAD"/>
    <w:rsid w:val="00C625A4"/>
    <w:rsid w:val="00C66184"/>
    <w:rsid w:val="00C675C5"/>
    <w:rsid w:val="00C70177"/>
    <w:rsid w:val="00C81E4B"/>
    <w:rsid w:val="00C854AF"/>
    <w:rsid w:val="00C8557D"/>
    <w:rsid w:val="00CB32DF"/>
    <w:rsid w:val="00CC7830"/>
    <w:rsid w:val="00CE2380"/>
    <w:rsid w:val="00CE58C9"/>
    <w:rsid w:val="00CE7149"/>
    <w:rsid w:val="00CF776B"/>
    <w:rsid w:val="00D143B1"/>
    <w:rsid w:val="00D32D84"/>
    <w:rsid w:val="00D45CA4"/>
    <w:rsid w:val="00D51873"/>
    <w:rsid w:val="00D528C1"/>
    <w:rsid w:val="00D635C7"/>
    <w:rsid w:val="00D7241B"/>
    <w:rsid w:val="00D85000"/>
    <w:rsid w:val="00D91F59"/>
    <w:rsid w:val="00DA485E"/>
    <w:rsid w:val="00DA6CFC"/>
    <w:rsid w:val="00DB6891"/>
    <w:rsid w:val="00DC4F33"/>
    <w:rsid w:val="00DE31D4"/>
    <w:rsid w:val="00E200D2"/>
    <w:rsid w:val="00E235BA"/>
    <w:rsid w:val="00E35C72"/>
    <w:rsid w:val="00E56561"/>
    <w:rsid w:val="00E56740"/>
    <w:rsid w:val="00E570FB"/>
    <w:rsid w:val="00E6713E"/>
    <w:rsid w:val="00E837BB"/>
    <w:rsid w:val="00EB2DE9"/>
    <w:rsid w:val="00EF2FA1"/>
    <w:rsid w:val="00F202F5"/>
    <w:rsid w:val="00F32AF6"/>
    <w:rsid w:val="00F3363D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AC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5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274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20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2746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1D34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C0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C0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0"/>
    <w:rPr>
      <w:sz w:val="20"/>
    </w:rPr>
  </w:style>
  <w:style w:type="character" w:customStyle="1" w:styleId="label">
    <w:name w:val="label"/>
    <w:basedOn w:val="DefaultParagraphFont"/>
    <w:rsid w:val="005A4E30"/>
  </w:style>
  <w:style w:type="paragraph" w:styleId="NormalWeb">
    <w:name w:val="Normal (Web)"/>
    <w:basedOn w:val="Normal"/>
    <w:uiPriority w:val="99"/>
    <w:unhideWhenUsed/>
    <w:rsid w:val="005A4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A4E30"/>
    <w:rPr>
      <w:color w:val="0000FF"/>
      <w:u w:val="single"/>
    </w:rPr>
  </w:style>
  <w:style w:type="paragraph" w:customStyle="1" w:styleId="documentslistitem">
    <w:name w:val="documentslist__item"/>
    <w:basedOn w:val="Normal"/>
    <w:rsid w:val="005A4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E238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98F"/>
    <w:rPr>
      <w:rFonts w:ascii="Calibri" w:hAnsi="Calibri" w:cs="Calibri"/>
      <w:sz w:val="22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98F"/>
    <w:rPr>
      <w:rFonts w:ascii="Calibri" w:hAnsi="Calibri" w:cs="Calibri"/>
      <w:lang w:val="ru-RU" w:eastAsia="ru-RU"/>
    </w:rPr>
  </w:style>
  <w:style w:type="paragraph" w:styleId="Revision">
    <w:name w:val="Revision"/>
    <w:hidden/>
    <w:uiPriority w:val="99"/>
    <w:semiHidden/>
    <w:rsid w:val="0026192F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6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41"/>
    <w:rPr>
      <w:b/>
      <w:bCs/>
      <w:sz w:val="20"/>
      <w:szCs w:val="20"/>
    </w:rPr>
  </w:style>
  <w:style w:type="paragraph" w:customStyle="1" w:styleId="ConsNormal">
    <w:name w:val="ConsNormal"/>
    <w:rsid w:val="000C0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8479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6361&amp;dst=100012&amp;field=134&amp;date=12.02.2024" TargetMode="External"/><Relationship Id="rId18" Type="http://schemas.openxmlformats.org/officeDocument/2006/relationships/hyperlink" Target="https://login.consultant.ru/link/?req=doc&amp;base=LAW&amp;n=465856&amp;dst=100024&amp;field=134&amp;date=12.02.202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6843&amp;dst=100007&amp;field=134&amp;date=12.02.202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66843&amp;dst=100024&amp;field=134&amp;date=12.02.2024" TargetMode="External"/><Relationship Id="rId17" Type="http://schemas.openxmlformats.org/officeDocument/2006/relationships/hyperlink" Target="https://login.consultant.ru/link/?req=doc&amp;base=LAW&amp;n=465856&amp;dst=100037&amp;field=134&amp;date=12.02.2024" TargetMode="External"/><Relationship Id="rId25" Type="http://schemas.openxmlformats.org/officeDocument/2006/relationships/hyperlink" Target="https://login.consultant.ru/link/?req=doc&amp;base=LAW&amp;n=465856&amp;dst=100015&amp;field=134&amp;date=12.02.202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856&amp;dst=100024&amp;field=134&amp;date=12.02.2024" TargetMode="External"/><Relationship Id="rId20" Type="http://schemas.openxmlformats.org/officeDocument/2006/relationships/hyperlink" Target="https://login.consultant.ru/link/?req=doc&amp;base=LAW&amp;n=466843&amp;dst=100007&amp;field=134&amp;date=12.02.202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1040&amp;date=12.02.2024" TargetMode="External"/><Relationship Id="rId24" Type="http://schemas.openxmlformats.org/officeDocument/2006/relationships/hyperlink" Target="https://login.consultant.ru/link/?req=doc&amp;base=LAW&amp;n=466843&amp;dst=100007&amp;field=134&amp;date=12.02.202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oscow.reception@credit-suisse.com" TargetMode="External"/><Relationship Id="rId23" Type="http://schemas.openxmlformats.org/officeDocument/2006/relationships/hyperlink" Target="https://login.consultant.ru/link/?req=doc&amp;base=LAW&amp;n=466843&amp;dst=100007&amp;field=134&amp;date=12.02.202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65856&amp;dst=100015&amp;field=134&amp;date=16.01.2024" TargetMode="External"/><Relationship Id="rId19" Type="http://schemas.openxmlformats.org/officeDocument/2006/relationships/hyperlink" Target="https://login.consultant.ru/link/?req=doc&amp;base=LAW&amp;n=465856&amp;dst=100037&amp;field=134&amp;date=12.02.2024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6843&amp;dst=100007&amp;field=134&amp;date=16.01.2024" TargetMode="External"/><Relationship Id="rId14" Type="http://schemas.openxmlformats.org/officeDocument/2006/relationships/hyperlink" Target="https://login.consultant.ru/link/?req=doc&amp;base=LAW&amp;n=429016&amp;dst=100010&amp;field=134&amp;date=12.02.2024" TargetMode="External"/><Relationship Id="rId22" Type="http://schemas.openxmlformats.org/officeDocument/2006/relationships/hyperlink" Target="https://login.consultant.ru/link/?req=doc&amp;base=LAW&amp;n=466843&amp;dst=100021&amp;field=134&amp;date=12.02.2024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login.consultant.ru/link/?req=doc&amp;base=LAW&amp;n=466843&amp;dst=100007&amp;field=134&amp;date=16.01.2024" TargetMode="External"/></Relationships>
</file>

<file path=word/theme/theme1.xml><?xml version="1.0" encoding="utf-8"?>
<a:theme xmlns:a="http://schemas.openxmlformats.org/drawingml/2006/main" name="Credit Suisse Blue">
  <a:themeElements>
    <a:clrScheme name="Credit Suisse 2022 (blue)">
      <a:dk1>
        <a:srgbClr val="000000"/>
      </a:dk1>
      <a:lt1>
        <a:sysClr val="window" lastClr="FFFFFF"/>
      </a:lt1>
      <a:dk2>
        <a:srgbClr val="003868"/>
      </a:dk2>
      <a:lt2>
        <a:srgbClr val="FFFFFF"/>
      </a:lt2>
      <a:accent1>
        <a:srgbClr val="002746"/>
      </a:accent1>
      <a:accent2>
        <a:srgbClr val="003868"/>
      </a:accent2>
      <a:accent3>
        <a:srgbClr val="265682"/>
      </a:accent3>
      <a:accent4>
        <a:srgbClr val="507CAB"/>
      </a:accent4>
      <a:accent5>
        <a:srgbClr val="EBAF34"/>
      </a:accent5>
      <a:accent6>
        <a:srgbClr val="F0C352"/>
      </a:accent6>
      <a:hlink>
        <a:srgbClr val="000000"/>
      </a:hlink>
      <a:folHlink>
        <a:srgbClr val="000000"/>
      </a:folHlink>
    </a:clrScheme>
    <a:fontScheme name="Credit Suisse Type Light">
      <a:majorFont>
        <a:latin typeface="Credit Suisse Headline"/>
        <a:ea typeface=""/>
        <a:cs typeface=""/>
      </a:majorFont>
      <a:minorFont>
        <a:latin typeface="Credit Suisse Typ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72000" tIns="72000" rIns="72000" bIns="72000" rtlCol="0" anchor="t"/>
      <a:lstStyle>
        <a:defPPr marL="216000" indent="-216000" algn="l">
          <a:spcBef>
            <a:spcPts val="500"/>
          </a:spcBef>
          <a:buFont typeface="Wingdings" panose="05000000000000000000" pitchFamily="2" charset="2"/>
          <a:buChar char="§"/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216000" indent="-216000" algn="l">
          <a:spcBef>
            <a:spcPts val="500"/>
          </a:spcBef>
          <a:buFont typeface="Wingdings" panose="05000000000000000000" pitchFamily="2" charset="2"/>
          <a:buChar char="§"/>
          <a:defRPr sz="1600" dirty="0" err="1" smtClean="0"/>
        </a:defPPr>
      </a:lstStyle>
    </a:txDef>
  </a:objectDefaults>
  <a:extraClrSchemeLst/>
  <a:custClrLst>
    <a:custClr name="CS Dimmed Blue Dark">
      <a:srgbClr val="4E6177"/>
    </a:custClr>
    <a:custClr name="CS Dimmed Blue Mid">
      <a:srgbClr val="72869D"/>
    </a:custClr>
    <a:custClr name="CS Dimmed Blue Bright">
      <a:srgbClr val="A7BBD4"/>
    </a:custClr>
    <a:custClr name="CS Dimmed Blue Light">
      <a:srgbClr val="D7E4F6"/>
    </a:custClr>
    <a:custClr name="Credit Suisse White">
      <a:srgbClr val="FFFFFF"/>
    </a:custClr>
    <a:custClr name="CS Bold Blue Dark">
      <a:srgbClr val="002746"/>
    </a:custClr>
    <a:custClr name="CS Bold Blue Mid (Credit Suisse Blue)">
      <a:srgbClr val="003868"/>
    </a:custClr>
    <a:custClr name="CS Bold Blue Bright">
      <a:srgbClr val="265682"/>
    </a:custClr>
    <a:custClr name="CS Bold Blue Light">
      <a:srgbClr val="507CAB"/>
    </a:custClr>
    <a:custClr name="Credit Suisse White">
      <a:srgbClr val="FFFFFF"/>
    </a:custClr>
    <a:custClr name="CS Dimmed Gray Dark">
      <a:srgbClr val="82838C"/>
    </a:custClr>
    <a:custClr name="CS Dimmed Green Dark">
      <a:srgbClr val="687C72"/>
    </a:custClr>
    <a:custClr name="CS Dimmed Gold Dark">
      <a:srgbClr val="B79961"/>
    </a:custClr>
    <a:custClr name="CS Dimmed Bronze Dark">
      <a:srgbClr val="C08062"/>
    </a:custClr>
    <a:custClr name="CS Dimmed Red Dark">
      <a:srgbClr val="D7897F"/>
    </a:custClr>
    <a:custClr name="CS Bold Gray Dark">
      <a:srgbClr val="45464E"/>
    </a:custClr>
    <a:custClr name="CS Bold Green Dark">
      <a:srgbClr val="1C5038"/>
    </a:custClr>
    <a:custClr name="CS Bold Gold Dark">
      <a:srgbClr val="B27500"/>
    </a:custClr>
    <a:custClr name="CS Bold Bronze Dark">
      <a:srgbClr val="914927"/>
    </a:custClr>
    <a:custClr name="CS Bold Red Dark">
      <a:srgbClr val="B6413F"/>
    </a:custClr>
    <a:custClr name="CS Dimmed Gray Mid">
      <a:srgbClr val="9D9DA7"/>
    </a:custClr>
    <a:custClr name="CS Dimmed Green Mid">
      <a:srgbClr val="8EA298"/>
    </a:custClr>
    <a:custClr name="CS Dimmed Gold Mid">
      <a:srgbClr val="D0B481"/>
    </a:custClr>
    <a:custClr name="CS Dimmed Bronze Mid">
      <a:srgbClr val="D69E83"/>
    </a:custClr>
    <a:custClr name="CS Dimmed Red Mid">
      <a:srgbClr val="ECA69E"/>
    </a:custClr>
    <a:custClr name="CS Bold Gray Mid">
      <a:srgbClr val="5D5E66"/>
    </a:custClr>
    <a:custClr name="CS Bold Green Mid">
      <a:srgbClr val="35684F"/>
    </a:custClr>
    <a:custClr name="CS Bold Gold Mid">
      <a:srgbClr val="C28C00"/>
    </a:custClr>
    <a:custClr name="CS Bold Bronze Mid">
      <a:srgbClr val="AE623F"/>
    </a:custClr>
    <a:custClr name="CS Bold Red Mid">
      <a:srgbClr val="D45C56"/>
    </a:custClr>
    <a:custClr name="CS Dimmed Gray Bright">
      <a:srgbClr val="C5C6CF"/>
    </a:custClr>
    <a:custClr name="CS Dimmed Green Bright">
      <a:srgbClr val="B7CCC0"/>
    </a:custClr>
    <a:custClr name="CS Dimmed Gold Bright">
      <a:srgbClr val="E5D2AF"/>
    </a:custClr>
    <a:custClr name="CS Dimmed Bronze Bright">
      <a:srgbClr val="E6BDAB"/>
    </a:custClr>
    <a:custClr name="CS Dimmed Red Bright">
      <a:srgbClr val="E3BEB8"/>
    </a:custClr>
    <a:custClr name="CS Bold Gray Bright">
      <a:srgbClr val="82838C"/>
    </a:custClr>
    <a:custClr name="CS Bold Green Bright">
      <a:srgbClr val="4F8367"/>
    </a:custClr>
    <a:custClr name="CS Bold Gold Bright">
      <a:srgbClr val="EBAF34"/>
    </a:custClr>
    <a:custClr name="CS Bold Bronze Bright">
      <a:srgbClr val="CB7C56"/>
    </a:custClr>
    <a:custClr name="CS Bold Red Bright">
      <a:srgbClr val="F37870"/>
    </a:custClr>
    <a:custClr name="CS Dimmed Gray Light">
      <a:srgbClr val="E1E2EC"/>
    </a:custClr>
    <a:custClr name="CS Dimmed Green Light">
      <a:srgbClr val="DAE6DF"/>
    </a:custClr>
    <a:custClr name="CS Dimmed Gold Light">
      <a:srgbClr val="EDE1CF"/>
    </a:custClr>
    <a:custClr name="CS Dimmed Bronze Light">
      <a:srgbClr val="F3DFD4"/>
    </a:custClr>
    <a:custClr name="CS Dimmed Red Light">
      <a:srgbClr val="F7DDDA"/>
    </a:custClr>
    <a:custClr name="CS Bold Gray Light">
      <a:srgbClr val="9D9DA7"/>
    </a:custClr>
    <a:custClr name="CS Bold Green Light">
      <a:srgbClr val="689C80"/>
    </a:custClr>
    <a:custClr name="CS Bold Gold Light">
      <a:srgbClr val="F0C352"/>
    </a:custClr>
    <a:custClr name="CS Bold Bronze Light">
      <a:srgbClr val="E9966F"/>
    </a:custClr>
    <a:custClr name="CS Bold Red Light">
      <a:srgbClr val="FF9A90"/>
    </a:custClr>
  </a:custClrLst>
  <a:extLst>
    <a:ext uri="{05A4C25C-085E-4340-85A3-A5531E510DB2}">
      <thm15:themeFamily xmlns:thm15="http://schemas.microsoft.com/office/thememl/2012/main" name="Credit Suisse Blue" id="{82A4992F-B07A-49CB-B886-EC02EA5DE606}" vid="{BDA4A16F-F43F-4165-97A1-1A1B69574E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2024-04-01T12:22:00Z</dcterms:created>
  <dcterms:modified xsi:type="dcterms:W3CDTF">2024-04-01T14:41:00Z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732d58-8c18-4bab-8f62-1159a69060e9_Enabled">
    <vt:lpwstr>true</vt:lpwstr>
  </property>
  <property fmtid="{D5CDD505-2E9C-101B-9397-08002B2CF9AE}" pid="3" name="MSIP_Label_f3732d58-8c18-4bab-8f62-1159a69060e9_SetDate">
    <vt:lpwstr>2023-09-26T13:36:22Z</vt:lpwstr>
  </property>
  <property fmtid="{D5CDD505-2E9C-101B-9397-08002B2CF9AE}" pid="4" name="MSIP_Label_f3732d58-8c18-4bab-8f62-1159a69060e9_Method">
    <vt:lpwstr>Privileged</vt:lpwstr>
  </property>
  <property fmtid="{D5CDD505-2E9C-101B-9397-08002B2CF9AE}" pid="5" name="MSIP_Label_f3732d58-8c18-4bab-8f62-1159a69060e9_Name">
    <vt:lpwstr>f3732d58-8c18-4bab-8f62-1159a69060e9</vt:lpwstr>
  </property>
  <property fmtid="{D5CDD505-2E9C-101B-9397-08002B2CF9AE}" pid="6" name="MSIP_Label_f3732d58-8c18-4bab-8f62-1159a69060e9_SiteId">
    <vt:lpwstr>d0df3d96-c065-41c3-8c0b-5dcaa460ec33</vt:lpwstr>
  </property>
  <property fmtid="{D5CDD505-2E9C-101B-9397-08002B2CF9AE}" pid="7" name="MSIP_Label_f3732d58-8c18-4bab-8f62-1159a69060e9_ActionId">
    <vt:lpwstr>b5b040f5-bf0e-4472-a9e7-1451b1552177</vt:lpwstr>
  </property>
  <property fmtid="{D5CDD505-2E9C-101B-9397-08002B2CF9AE}" pid="8" name="MSIP_Label_f3732d58-8c18-4bab-8f62-1159a69060e9_ContentBits">
    <vt:lpwstr>0</vt:lpwstr>
  </property>
</Properties>
</file>